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FF" w:rsidRDefault="003A18FF" w:rsidP="003A18FF">
      <w:pPr>
        <w:spacing w:line="360" w:lineRule="auto"/>
        <w:jc w:val="center"/>
        <w:rPr>
          <w:rFonts w:ascii="Times New Roman" w:hAnsi="Times New Roman" w:cs="Times New Roman"/>
          <w:sz w:val="24"/>
          <w:szCs w:val="24"/>
        </w:rPr>
      </w:pPr>
      <w:r w:rsidRPr="00F97688">
        <w:rPr>
          <w:rFonts w:ascii="Times New Roman" w:hAnsi="Times New Roman" w:cs="Times New Roman"/>
          <w:noProof/>
          <w:sz w:val="24"/>
          <w:szCs w:val="24"/>
        </w:rPr>
        <w:drawing>
          <wp:inline distT="0" distB="0" distL="0" distR="0">
            <wp:extent cx="594360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38275"/>
                    </a:xfrm>
                    <a:prstGeom prst="rect">
                      <a:avLst/>
                    </a:prstGeom>
                    <a:noFill/>
                    <a:ln>
                      <a:noFill/>
                    </a:ln>
                  </pic:spPr>
                </pic:pic>
              </a:graphicData>
            </a:graphic>
          </wp:inline>
        </w:drawing>
      </w:r>
    </w:p>
    <w:p w:rsidR="003A18FF" w:rsidRDefault="003A18FF" w:rsidP="003A18FF">
      <w:pPr>
        <w:spacing w:line="360" w:lineRule="auto"/>
        <w:jc w:val="center"/>
        <w:rPr>
          <w:rFonts w:ascii="Times New Roman" w:hAnsi="Times New Roman" w:cs="Times New Roman"/>
          <w:sz w:val="24"/>
          <w:szCs w:val="24"/>
        </w:rPr>
      </w:pPr>
    </w:p>
    <w:p w:rsidR="003A18FF" w:rsidRPr="00901E26" w:rsidRDefault="003A18FF" w:rsidP="003A18FF">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Statement Prepared for the Joint Economic Committee Hearing on</w:t>
      </w:r>
    </w:p>
    <w:p w:rsidR="003A18FF" w:rsidRPr="00901E26" w:rsidRDefault="003A18FF" w:rsidP="003A18FF">
      <w:pPr>
        <w:spacing w:line="360" w:lineRule="auto"/>
        <w:rPr>
          <w:rFonts w:ascii="Times New Roman" w:hAnsi="Times New Roman" w:cs="Times New Roman"/>
          <w:sz w:val="24"/>
          <w:szCs w:val="24"/>
        </w:rPr>
      </w:pPr>
    </w:p>
    <w:p w:rsidR="003A18FF" w:rsidRPr="004316FA" w:rsidRDefault="003A18FF" w:rsidP="003A18FF">
      <w:pPr>
        <w:jc w:val="center"/>
        <w:rPr>
          <w:rFonts w:ascii="Times New Roman" w:hAnsi="Times New Roman" w:cs="Times New Roman"/>
          <w:sz w:val="24"/>
          <w:szCs w:val="24"/>
        </w:rPr>
      </w:pPr>
      <w:r w:rsidRPr="004316FA">
        <w:rPr>
          <w:rFonts w:ascii="Times New Roman" w:hAnsi="Times New Roman" w:cs="Times New Roman"/>
          <w:sz w:val="24"/>
          <w:szCs w:val="24"/>
        </w:rPr>
        <w:t xml:space="preserve">“Increasing Economic Opportunity For African Americans: Local Initiatives that are </w:t>
      </w:r>
      <w:proofErr w:type="gramStart"/>
      <w:r w:rsidRPr="004316FA">
        <w:rPr>
          <w:rFonts w:ascii="Times New Roman" w:hAnsi="Times New Roman" w:cs="Times New Roman"/>
          <w:sz w:val="24"/>
          <w:szCs w:val="24"/>
        </w:rPr>
        <w:t>Making</w:t>
      </w:r>
      <w:proofErr w:type="gramEnd"/>
      <w:r w:rsidRPr="004316FA">
        <w:rPr>
          <w:rFonts w:ascii="Times New Roman" w:hAnsi="Times New Roman" w:cs="Times New Roman"/>
          <w:sz w:val="24"/>
          <w:szCs w:val="24"/>
        </w:rPr>
        <w:t xml:space="preserve"> a Difference”</w:t>
      </w:r>
    </w:p>
    <w:p w:rsidR="003A18FF" w:rsidRPr="00901E26" w:rsidRDefault="003A18FF" w:rsidP="003A18FF">
      <w:pPr>
        <w:spacing w:line="360" w:lineRule="auto"/>
        <w:jc w:val="center"/>
        <w:rPr>
          <w:rFonts w:ascii="Times New Roman" w:hAnsi="Times New Roman" w:cs="Times New Roman"/>
          <w:sz w:val="24"/>
          <w:szCs w:val="24"/>
        </w:rPr>
      </w:pPr>
    </w:p>
    <w:p w:rsidR="003A18FF" w:rsidRPr="00901E26" w:rsidRDefault="003A18FF" w:rsidP="003A18FF">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Aparna Mathur</w:t>
      </w:r>
    </w:p>
    <w:p w:rsidR="003A18FF" w:rsidRPr="00901E26" w:rsidRDefault="003A18FF" w:rsidP="003A18FF">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Resident Scholar in Economic Policy Studies</w:t>
      </w:r>
    </w:p>
    <w:p w:rsidR="003A18FF" w:rsidRDefault="003A18FF" w:rsidP="003A18FF">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American Enterprise Institute</w:t>
      </w:r>
    </w:p>
    <w:p w:rsidR="003A18FF" w:rsidRPr="00901E26" w:rsidRDefault="003A18FF" w:rsidP="003A18FF">
      <w:pPr>
        <w:spacing w:line="360" w:lineRule="auto"/>
        <w:jc w:val="center"/>
        <w:rPr>
          <w:rFonts w:ascii="Times New Roman" w:hAnsi="Times New Roman" w:cs="Times New Roman"/>
          <w:sz w:val="24"/>
          <w:szCs w:val="24"/>
        </w:rPr>
      </w:pPr>
      <w:r>
        <w:rPr>
          <w:rFonts w:ascii="Times New Roman" w:hAnsi="Times New Roman" w:cs="Times New Roman"/>
          <w:sz w:val="24"/>
          <w:szCs w:val="24"/>
        </w:rPr>
        <w:t>Tuesday, July 29, 2014</w:t>
      </w:r>
    </w:p>
    <w:p w:rsidR="003A18FF" w:rsidRDefault="003A18FF" w:rsidP="003A18FF">
      <w:pPr>
        <w:spacing w:line="360" w:lineRule="auto"/>
        <w:jc w:val="center"/>
        <w:rPr>
          <w:rFonts w:ascii="Times New Roman" w:hAnsi="Times New Roman" w:cs="Times New Roman"/>
          <w:sz w:val="24"/>
          <w:szCs w:val="24"/>
        </w:rPr>
      </w:pPr>
    </w:p>
    <w:p w:rsidR="003A18FF" w:rsidRDefault="003A18FF" w:rsidP="003A18FF">
      <w:pPr>
        <w:spacing w:line="360" w:lineRule="auto"/>
        <w:rPr>
          <w:rFonts w:ascii="Times New Roman" w:hAnsi="Times New Roman" w:cs="Times New Roman"/>
          <w:sz w:val="24"/>
          <w:szCs w:val="24"/>
        </w:rPr>
      </w:pPr>
    </w:p>
    <w:p w:rsidR="003A18FF" w:rsidRPr="00F97688" w:rsidRDefault="003A18FF" w:rsidP="003A18FF">
      <w:pPr>
        <w:spacing w:line="360" w:lineRule="auto"/>
        <w:jc w:val="center"/>
        <w:rPr>
          <w:rFonts w:ascii="Times New Roman" w:hAnsi="Times New Roman" w:cs="Times New Roman"/>
          <w:i/>
          <w:sz w:val="24"/>
          <w:szCs w:val="24"/>
        </w:rPr>
      </w:pPr>
      <w:r w:rsidRPr="00F97688">
        <w:rPr>
          <w:rFonts w:ascii="Times New Roman" w:hAnsi="Times New Roman" w:cs="Times New Roman"/>
          <w:i/>
          <w:sz w:val="24"/>
          <w:szCs w:val="24"/>
        </w:rPr>
        <w:t>The views expressed in this testimony are those of the author alone and do not necessarily represent those of the American Enterprise Institute.</w:t>
      </w:r>
    </w:p>
    <w:p w:rsidR="003A18FF" w:rsidRDefault="003A18FF" w:rsidP="003A18FF">
      <w:pPr>
        <w:jc w:val="center"/>
      </w:pPr>
    </w:p>
    <w:p w:rsidR="003A18FF" w:rsidRDefault="003A18FF" w:rsidP="003A18FF">
      <w:pPr>
        <w:jc w:val="center"/>
      </w:pPr>
    </w:p>
    <w:p w:rsidR="003A18FF" w:rsidRDefault="003A18FF" w:rsidP="003A18FF">
      <w:pPr>
        <w:jc w:val="center"/>
      </w:pPr>
    </w:p>
    <w:p w:rsidR="003A18FF" w:rsidRDefault="003A18FF" w:rsidP="003A18FF">
      <w:pPr>
        <w:jc w:val="center"/>
      </w:pPr>
    </w:p>
    <w:p w:rsidR="003A18FF" w:rsidRDefault="003A18FF" w:rsidP="003A18FF">
      <w:pPr>
        <w:jc w:val="center"/>
      </w:pPr>
    </w:p>
    <w:p w:rsidR="003A18FF" w:rsidRPr="00F42963" w:rsidRDefault="003A18FF" w:rsidP="003A18FF">
      <w:pPr>
        <w:pStyle w:val="ListParagraph"/>
        <w:numPr>
          <w:ilvl w:val="0"/>
          <w:numId w:val="1"/>
        </w:numPr>
        <w:jc w:val="center"/>
        <w:rPr>
          <w:rFonts w:ascii="Times New Roman" w:hAnsi="Times New Roman" w:cs="Times New Roman"/>
          <w:sz w:val="24"/>
          <w:szCs w:val="24"/>
        </w:rPr>
      </w:pPr>
      <w:r w:rsidRPr="00F42963">
        <w:rPr>
          <w:rFonts w:ascii="Times New Roman" w:hAnsi="Times New Roman" w:cs="Times New Roman"/>
          <w:sz w:val="24"/>
          <w:szCs w:val="24"/>
        </w:rPr>
        <w:lastRenderedPageBreak/>
        <w:t>Introduction</w:t>
      </w:r>
    </w:p>
    <w:p w:rsidR="003A18FF" w:rsidRPr="00F42963" w:rsidRDefault="003A18FF" w:rsidP="003A18FF">
      <w:pPr>
        <w:pStyle w:val="ListParagraph"/>
        <w:ind w:left="1080"/>
        <w:jc w:val="both"/>
        <w:rPr>
          <w:rFonts w:ascii="Times New Roman" w:hAnsi="Times New Roman" w:cs="Times New Roman"/>
          <w:sz w:val="24"/>
          <w:szCs w:val="24"/>
        </w:rPr>
      </w:pPr>
    </w:p>
    <w:p w:rsidR="003A18FF" w:rsidRDefault="003A18FF" w:rsidP="003A18FF">
      <w:pPr>
        <w:spacing w:after="0" w:line="360" w:lineRule="auto"/>
        <w:ind w:firstLine="720"/>
        <w:jc w:val="both"/>
        <w:rPr>
          <w:rFonts w:ascii="Times New Roman" w:eastAsia="Times New Roman" w:hAnsi="Times New Roman" w:cs="Times New Roman"/>
          <w:color w:val="1A1A1A"/>
          <w:sz w:val="24"/>
          <w:szCs w:val="24"/>
        </w:rPr>
      </w:pPr>
      <w:r w:rsidRPr="00F42963">
        <w:rPr>
          <w:rFonts w:ascii="Times New Roman" w:eastAsia="Times New Roman" w:hAnsi="Times New Roman" w:cs="Times New Roman"/>
          <w:color w:val="1A1A1A"/>
          <w:sz w:val="24"/>
          <w:szCs w:val="24"/>
        </w:rPr>
        <w:t xml:space="preserve">Economic mobility </w:t>
      </w:r>
      <w:r w:rsidR="00615AED">
        <w:rPr>
          <w:rFonts w:ascii="Times New Roman" w:eastAsia="Times New Roman" w:hAnsi="Times New Roman" w:cs="Times New Roman"/>
          <w:color w:val="1A1A1A"/>
          <w:sz w:val="24"/>
          <w:szCs w:val="24"/>
        </w:rPr>
        <w:t xml:space="preserve">refers to </w:t>
      </w:r>
      <w:r>
        <w:rPr>
          <w:rFonts w:ascii="Times New Roman" w:eastAsia="Times New Roman" w:hAnsi="Times New Roman" w:cs="Times New Roman"/>
          <w:color w:val="1A1A1A"/>
          <w:sz w:val="24"/>
          <w:szCs w:val="24"/>
        </w:rPr>
        <w:t xml:space="preserve">the ability of an individual or a family to improve their economic status, either within a lifetime or across generations. </w:t>
      </w:r>
      <w:r w:rsidR="00615AED">
        <w:rPr>
          <w:rFonts w:ascii="Times New Roman" w:eastAsia="Times New Roman" w:hAnsi="Times New Roman" w:cs="Times New Roman"/>
          <w:color w:val="1A1A1A"/>
          <w:sz w:val="24"/>
          <w:szCs w:val="24"/>
        </w:rPr>
        <w:t>It is a reflection of economic opportunities available to parents and their children</w:t>
      </w:r>
      <w:r w:rsidR="000B13D1">
        <w:rPr>
          <w:rFonts w:ascii="Times New Roman" w:eastAsia="Times New Roman" w:hAnsi="Times New Roman" w:cs="Times New Roman"/>
          <w:color w:val="1A1A1A"/>
          <w:sz w:val="24"/>
          <w:szCs w:val="24"/>
        </w:rPr>
        <w:t xml:space="preserve"> as they attempt to move up the income ladder. </w:t>
      </w:r>
      <w:r>
        <w:rPr>
          <w:rFonts w:ascii="Times New Roman" w:eastAsia="Times New Roman" w:hAnsi="Times New Roman" w:cs="Times New Roman"/>
          <w:color w:val="1A1A1A"/>
          <w:sz w:val="24"/>
          <w:szCs w:val="24"/>
        </w:rPr>
        <w:t>A new study by Pew Charitable Trusts defines upward mobility as the extent to which children can rise above their parents’ position relative to their peers.</w:t>
      </w:r>
      <w:r>
        <w:rPr>
          <w:rStyle w:val="FootnoteReference"/>
          <w:rFonts w:ascii="Times New Roman" w:eastAsia="Times New Roman" w:hAnsi="Times New Roman" w:cs="Times New Roman"/>
          <w:color w:val="1A1A1A"/>
          <w:sz w:val="24"/>
          <w:szCs w:val="24"/>
        </w:rPr>
        <w:footnoteReference w:id="1"/>
      </w:r>
      <w:r>
        <w:rPr>
          <w:rFonts w:ascii="Times New Roman" w:eastAsia="Times New Roman" w:hAnsi="Times New Roman" w:cs="Times New Roman"/>
          <w:color w:val="1A1A1A"/>
          <w:sz w:val="24"/>
          <w:szCs w:val="24"/>
        </w:rPr>
        <w:t xml:space="preserve"> It concludes that 71 percent of individuals whose parents were in the bottom half of the income distribution improved their rankings relative to their parents. However, only 45 percent of them experienced improvements relative to their parents’ ranking that were significant. Further, only 38 percent of individuals who started in the bottom half of the distribution made their way to the top half as adults.</w:t>
      </w:r>
    </w:p>
    <w:p w:rsidR="003A18FF" w:rsidRDefault="003A18FF" w:rsidP="003A18FF">
      <w:pPr>
        <w:spacing w:after="0" w:line="360" w:lineRule="auto"/>
        <w:ind w:firstLine="72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differences in economic mobility across demographic groups are striking as well. Men have a greater likelihood to move up the income ladder (41 percent) than do women (27 percent). The increases in income experienced by women are less likely to place them 20 percentiles higher relative to their parents</w:t>
      </w:r>
      <w:r w:rsidR="00240922">
        <w:rPr>
          <w:rFonts w:ascii="Times New Roman" w:eastAsia="Times New Roman" w:hAnsi="Times New Roman" w:cs="Times New Roman"/>
          <w:color w:val="1A1A1A"/>
          <w:sz w:val="24"/>
          <w:szCs w:val="24"/>
        </w:rPr>
        <w:t>’</w:t>
      </w:r>
      <w:r w:rsidR="009871C1">
        <w:rPr>
          <w:rFonts w:ascii="Times New Roman" w:eastAsia="Times New Roman" w:hAnsi="Times New Roman" w:cs="Times New Roman"/>
          <w:color w:val="1A1A1A"/>
          <w:sz w:val="24"/>
          <w:szCs w:val="24"/>
        </w:rPr>
        <w:t xml:space="preserve"> position</w:t>
      </w:r>
      <w:r>
        <w:rPr>
          <w:rFonts w:ascii="Times New Roman" w:eastAsia="Times New Roman" w:hAnsi="Times New Roman" w:cs="Times New Roman"/>
          <w:color w:val="1A1A1A"/>
          <w:sz w:val="24"/>
          <w:szCs w:val="24"/>
        </w:rPr>
        <w:t>, than for men. Finally, women at all income quintiles are much more likely to fall down to the bottom quintile than are men.</w:t>
      </w:r>
    </w:p>
    <w:p w:rsidR="003A18FF" w:rsidRDefault="00615AED" w:rsidP="003A18FF">
      <w:pPr>
        <w:spacing w:after="0" w:line="360" w:lineRule="auto"/>
        <w:ind w:firstLine="72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Amongst all races, economic mobility is of particular concern for</w:t>
      </w:r>
      <w:r w:rsidR="003A18FF">
        <w:rPr>
          <w:rFonts w:ascii="Times New Roman" w:eastAsia="Times New Roman" w:hAnsi="Times New Roman" w:cs="Times New Roman"/>
          <w:color w:val="1A1A1A"/>
          <w:sz w:val="24"/>
          <w:szCs w:val="24"/>
        </w:rPr>
        <w:t xml:space="preserve"> African-Americans</w:t>
      </w:r>
      <w:r>
        <w:rPr>
          <w:rFonts w:ascii="Times New Roman" w:eastAsia="Times New Roman" w:hAnsi="Times New Roman" w:cs="Times New Roman"/>
          <w:color w:val="1A1A1A"/>
          <w:sz w:val="24"/>
          <w:szCs w:val="24"/>
        </w:rPr>
        <w:t>.</w:t>
      </w:r>
      <w:r w:rsidR="003A18FF">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African-Americans </w:t>
      </w:r>
      <w:r w:rsidR="003A18FF">
        <w:rPr>
          <w:rFonts w:ascii="Times New Roman" w:eastAsia="Times New Roman" w:hAnsi="Times New Roman" w:cs="Times New Roman"/>
          <w:color w:val="1A1A1A"/>
          <w:sz w:val="24"/>
          <w:szCs w:val="24"/>
        </w:rPr>
        <w:t xml:space="preserve">experience significantly less upward economic mobility compared to whites. </w:t>
      </w:r>
      <w:r>
        <w:rPr>
          <w:rFonts w:ascii="Times New Roman" w:eastAsia="Times New Roman" w:hAnsi="Times New Roman" w:cs="Times New Roman"/>
          <w:color w:val="1A1A1A"/>
          <w:sz w:val="24"/>
          <w:szCs w:val="24"/>
        </w:rPr>
        <w:t>Forty-four</w:t>
      </w:r>
      <w:r w:rsidR="003A18FF">
        <w:rPr>
          <w:rFonts w:ascii="Times New Roman" w:eastAsia="Times New Roman" w:hAnsi="Times New Roman" w:cs="Times New Roman"/>
          <w:color w:val="1A1A1A"/>
          <w:sz w:val="24"/>
          <w:szCs w:val="24"/>
        </w:rPr>
        <w:t xml:space="preserve"> percent of blacks in the bottom quintile stay there into adulthood compared to just 25 percent of comparable whites. A large majority of </w:t>
      </w:r>
      <w:r w:rsidR="00240922">
        <w:rPr>
          <w:rFonts w:ascii="Times New Roman" w:eastAsia="Times New Roman" w:hAnsi="Times New Roman" w:cs="Times New Roman"/>
          <w:color w:val="1A1A1A"/>
          <w:sz w:val="24"/>
          <w:szCs w:val="24"/>
        </w:rPr>
        <w:t>b</w:t>
      </w:r>
      <w:r w:rsidR="003A18FF">
        <w:rPr>
          <w:rFonts w:ascii="Times New Roman" w:eastAsia="Times New Roman" w:hAnsi="Times New Roman" w:cs="Times New Roman"/>
          <w:color w:val="1A1A1A"/>
          <w:sz w:val="24"/>
          <w:szCs w:val="24"/>
        </w:rPr>
        <w:t>lacks born in the bottom half of the income distribution are likely to exceed their parent’s place in the income distribution, but only 35 percent improve their relative position by 20 percentiles or more, less than the nearly 50 percent statistic for whites.</w:t>
      </w:r>
    </w:p>
    <w:p w:rsidR="003A18FF" w:rsidRDefault="003A18FF" w:rsidP="003A18FF">
      <w:pPr>
        <w:spacing w:after="0" w:line="360" w:lineRule="auto"/>
        <w:ind w:firstLine="72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Economic mobility is highest for white men, followed by white women, black men and, last of all, black women. These fi</w:t>
      </w:r>
      <w:r w:rsidR="00A06EC9">
        <w:rPr>
          <w:rFonts w:ascii="Times New Roman" w:eastAsia="Times New Roman" w:hAnsi="Times New Roman" w:cs="Times New Roman"/>
          <w:color w:val="1A1A1A"/>
          <w:sz w:val="24"/>
          <w:szCs w:val="24"/>
        </w:rPr>
        <w:t>ndings are echoed in Hertz (2005</w:t>
      </w:r>
      <w:r>
        <w:rPr>
          <w:rFonts w:ascii="Times New Roman" w:eastAsia="Times New Roman" w:hAnsi="Times New Roman" w:cs="Times New Roman"/>
          <w:color w:val="1A1A1A"/>
          <w:sz w:val="24"/>
          <w:szCs w:val="24"/>
        </w:rPr>
        <w:t xml:space="preserve">) who finds that blacks are 30 percentage points more likely to remain in the bottom quarter of the income distribution relative </w:t>
      </w:r>
      <w:r>
        <w:rPr>
          <w:rFonts w:ascii="Times New Roman" w:eastAsia="Times New Roman" w:hAnsi="Times New Roman" w:cs="Times New Roman"/>
          <w:color w:val="1A1A1A"/>
          <w:sz w:val="24"/>
          <w:szCs w:val="24"/>
        </w:rPr>
        <w:lastRenderedPageBreak/>
        <w:t>to whites.</w:t>
      </w:r>
      <w:r w:rsidR="00A06EC9">
        <w:rPr>
          <w:rStyle w:val="FootnoteReference"/>
          <w:rFonts w:ascii="Times New Roman" w:eastAsia="Times New Roman" w:hAnsi="Times New Roman" w:cs="Times New Roman"/>
          <w:color w:val="1A1A1A"/>
          <w:sz w:val="24"/>
          <w:szCs w:val="24"/>
        </w:rPr>
        <w:footnoteReference w:id="2"/>
      </w:r>
      <w:r>
        <w:rPr>
          <w:rFonts w:ascii="Times New Roman" w:eastAsia="Times New Roman" w:hAnsi="Times New Roman" w:cs="Times New Roman"/>
          <w:color w:val="1A1A1A"/>
          <w:sz w:val="24"/>
          <w:szCs w:val="24"/>
        </w:rPr>
        <w:t xml:space="preserve"> A study by the Economic Mobility Project of the Brookings Institution also finds more downward mobility for blacks than </w:t>
      </w:r>
      <w:r w:rsidR="00EB5213">
        <w:rPr>
          <w:rFonts w:ascii="Times New Roman" w:eastAsia="Times New Roman" w:hAnsi="Times New Roman" w:cs="Times New Roman"/>
          <w:color w:val="1A1A1A"/>
          <w:sz w:val="24"/>
          <w:szCs w:val="24"/>
        </w:rPr>
        <w:t xml:space="preserve">for </w:t>
      </w:r>
      <w:r>
        <w:rPr>
          <w:rFonts w:ascii="Times New Roman" w:eastAsia="Times New Roman" w:hAnsi="Times New Roman" w:cs="Times New Roman"/>
          <w:color w:val="1A1A1A"/>
          <w:sz w:val="24"/>
          <w:szCs w:val="24"/>
        </w:rPr>
        <w:t>whites from the middle of the distribution.</w:t>
      </w:r>
      <w:r>
        <w:rPr>
          <w:rStyle w:val="FootnoteReference"/>
          <w:rFonts w:ascii="Times New Roman" w:eastAsia="Times New Roman" w:hAnsi="Times New Roman" w:cs="Times New Roman"/>
          <w:color w:val="1A1A1A"/>
          <w:sz w:val="24"/>
          <w:szCs w:val="24"/>
        </w:rPr>
        <w:footnoteReference w:id="3"/>
      </w:r>
    </w:p>
    <w:p w:rsidR="003A18FF" w:rsidRPr="00AC6069" w:rsidRDefault="003A18FF" w:rsidP="003A18FF">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1A1A1A"/>
          <w:sz w:val="24"/>
          <w:szCs w:val="24"/>
        </w:rPr>
        <w:t xml:space="preserve">Moreover, it appears from other studies that </w:t>
      </w:r>
      <w:r>
        <w:rPr>
          <w:rFonts w:ascii="Times New Roman" w:hAnsi="Times New Roman" w:cs="Times New Roman"/>
          <w:sz w:val="24"/>
          <w:szCs w:val="24"/>
        </w:rPr>
        <w:t>economic mobility in America on the whole is stagnating. Using tax record data for individuals born between 197</w:t>
      </w:r>
      <w:r w:rsidR="0066272E">
        <w:rPr>
          <w:rFonts w:ascii="Times New Roman" w:hAnsi="Times New Roman" w:cs="Times New Roman"/>
          <w:sz w:val="24"/>
          <w:szCs w:val="24"/>
        </w:rPr>
        <w:t xml:space="preserve">1 and 1993, </w:t>
      </w:r>
      <w:proofErr w:type="spellStart"/>
      <w:r w:rsidR="0066272E">
        <w:rPr>
          <w:rFonts w:ascii="Times New Roman" w:hAnsi="Times New Roman" w:cs="Times New Roman"/>
          <w:sz w:val="24"/>
          <w:szCs w:val="24"/>
        </w:rPr>
        <w:t>Chetty</w:t>
      </w:r>
      <w:proofErr w:type="spellEnd"/>
      <w:r w:rsidR="0066272E">
        <w:rPr>
          <w:rFonts w:ascii="Times New Roman" w:hAnsi="Times New Roman" w:cs="Times New Roman"/>
          <w:sz w:val="24"/>
          <w:szCs w:val="24"/>
        </w:rPr>
        <w:t xml:space="preserve"> et al. (2014</w:t>
      </w:r>
      <w:r>
        <w:rPr>
          <w:rFonts w:ascii="Times New Roman" w:hAnsi="Times New Roman" w:cs="Times New Roman"/>
          <w:sz w:val="24"/>
          <w:szCs w:val="24"/>
        </w:rPr>
        <w:t>) conclude that, for the most part, intergenerational mobility has not changed significantly over time.</w:t>
      </w:r>
      <w:r w:rsidR="00D6694D">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For example, children born in 1971 who had parents in the bottom fifth of the income distribution had an 8.4 percent chance to reach the top fifth of the inc</w:t>
      </w:r>
      <w:r w:rsidR="009871C1">
        <w:rPr>
          <w:rFonts w:ascii="Times New Roman" w:hAnsi="Times New Roman" w:cs="Times New Roman"/>
          <w:sz w:val="24"/>
          <w:szCs w:val="24"/>
        </w:rPr>
        <w:t xml:space="preserve">ome distribution themselves, </w:t>
      </w:r>
      <w:r>
        <w:rPr>
          <w:rFonts w:ascii="Times New Roman" w:hAnsi="Times New Roman" w:cs="Times New Roman"/>
          <w:sz w:val="24"/>
          <w:szCs w:val="24"/>
        </w:rPr>
        <w:t>compared with a 9 percent chance for similar children born in 1986.</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Pr>
          <w:rFonts w:ascii="Times New Roman" w:eastAsia="Times New Roman" w:hAnsi="Times New Roman" w:cs="Times New Roman"/>
          <w:color w:val="1A1A1A"/>
          <w:sz w:val="24"/>
          <w:szCs w:val="24"/>
        </w:rPr>
        <w:t xml:space="preserve">Several studies have also found that mobility in the U.S. is significantly lower compared to other developed countries </w:t>
      </w:r>
      <w:r w:rsidRPr="00AF744F">
        <w:rPr>
          <w:rFonts w:ascii="Times New Roman" w:eastAsia="Times New Roman" w:hAnsi="Times New Roman" w:cs="Times New Roman"/>
          <w:color w:val="1A1A1A"/>
          <w:sz w:val="24"/>
          <w:szCs w:val="24"/>
        </w:rPr>
        <w:t>(</w:t>
      </w:r>
      <w:r w:rsidRPr="00AF744F">
        <w:rPr>
          <w:rFonts w:ascii="Times New Roman" w:hAnsi="Times New Roman" w:cs="Times New Roman"/>
          <w:sz w:val="24"/>
          <w:szCs w:val="24"/>
        </w:rPr>
        <w:t xml:space="preserve">e.g., </w:t>
      </w:r>
      <w:proofErr w:type="spellStart"/>
      <w:r w:rsidRPr="00AF744F">
        <w:rPr>
          <w:rFonts w:ascii="Times New Roman" w:hAnsi="Times New Roman" w:cs="Times New Roman"/>
          <w:sz w:val="24"/>
          <w:szCs w:val="24"/>
        </w:rPr>
        <w:t>Bjorklund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Jantti</w:t>
      </w:r>
      <w:proofErr w:type="spellEnd"/>
      <w:r>
        <w:rPr>
          <w:rFonts w:ascii="Times New Roman" w:hAnsi="Times New Roman" w:cs="Times New Roman"/>
          <w:sz w:val="24"/>
          <w:szCs w:val="24"/>
        </w:rPr>
        <w:t xml:space="preserve"> 1997, </w:t>
      </w:r>
      <w:proofErr w:type="spellStart"/>
      <w:r>
        <w:rPr>
          <w:rFonts w:ascii="Times New Roman" w:hAnsi="Times New Roman" w:cs="Times New Roman"/>
          <w:sz w:val="24"/>
          <w:szCs w:val="24"/>
        </w:rPr>
        <w:t>J</w:t>
      </w:r>
      <w:r w:rsidRPr="00AF744F">
        <w:rPr>
          <w:rFonts w:ascii="Times New Roman" w:hAnsi="Times New Roman" w:cs="Times New Roman"/>
          <w:sz w:val="24"/>
          <w:szCs w:val="24"/>
        </w:rPr>
        <w:t>antti</w:t>
      </w:r>
      <w:proofErr w:type="spellEnd"/>
      <w:r w:rsidRPr="00AF744F">
        <w:rPr>
          <w:rFonts w:ascii="Times New Roman" w:hAnsi="Times New Roman" w:cs="Times New Roman"/>
          <w:sz w:val="24"/>
          <w:szCs w:val="24"/>
        </w:rPr>
        <w:t xml:space="preserve"> et al. 2006, </w:t>
      </w:r>
      <w:proofErr w:type="spellStart"/>
      <w:r w:rsidRPr="00AF744F">
        <w:rPr>
          <w:rFonts w:ascii="Times New Roman" w:hAnsi="Times New Roman" w:cs="Times New Roman"/>
          <w:sz w:val="24"/>
          <w:szCs w:val="24"/>
        </w:rPr>
        <w:t>Corak</w:t>
      </w:r>
      <w:proofErr w:type="spellEnd"/>
      <w:r w:rsidRPr="00AF744F">
        <w:rPr>
          <w:rFonts w:ascii="Times New Roman" w:hAnsi="Times New Roman" w:cs="Times New Roman"/>
          <w:sz w:val="24"/>
          <w:szCs w:val="24"/>
        </w:rPr>
        <w:t xml:space="preserve"> 2013</w:t>
      </w:r>
      <w:r w:rsidRPr="00AF744F">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w:t>
      </w:r>
      <w:r>
        <w:rPr>
          <w:rStyle w:val="FootnoteReference"/>
          <w:rFonts w:ascii="Times New Roman" w:eastAsia="Times New Roman" w:hAnsi="Times New Roman" w:cs="Times New Roman"/>
          <w:color w:val="1A1A1A"/>
          <w:sz w:val="24"/>
          <w:szCs w:val="24"/>
        </w:rPr>
        <w:footnoteReference w:id="6"/>
      </w:r>
    </w:p>
    <w:p w:rsidR="003A18FF" w:rsidRPr="00AC6069" w:rsidRDefault="003A18FF" w:rsidP="003A18F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From a policy perspective, understanding the causal mechanisms for upward economic mobility is extremely important.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this testimony, I highlight the factors that are highly correlated with economic mobility with a particular focus on how these factors apply to African-Americans. I then offer several policy suggestions that could address some of these challenges based on an extensive review of the literature on this topic.</w:t>
      </w:r>
    </w:p>
    <w:p w:rsidR="003A18FF" w:rsidRDefault="003A18FF" w:rsidP="003A18FF">
      <w:pPr>
        <w:pStyle w:val="ListParagraph"/>
        <w:ind w:left="1080"/>
      </w:pPr>
    </w:p>
    <w:p w:rsidR="003A18FF" w:rsidRDefault="003A18FF" w:rsidP="003A18FF">
      <w:pPr>
        <w:autoSpaceDE w:val="0"/>
        <w:autoSpaceDN w:val="0"/>
        <w:adjustRightInd w:val="0"/>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II. Correlates of Mobility</w:t>
      </w:r>
    </w:p>
    <w:p w:rsidR="003A18FF" w:rsidRDefault="003A18FF" w:rsidP="003A18FF">
      <w:pPr>
        <w:autoSpaceDE w:val="0"/>
        <w:autoSpaceDN w:val="0"/>
        <w:adjustRightInd w:val="0"/>
        <w:spacing w:after="0" w:line="360" w:lineRule="auto"/>
        <w:ind w:firstLine="720"/>
        <w:jc w:val="center"/>
        <w:rPr>
          <w:rFonts w:ascii="Times New Roman" w:hAnsi="Times New Roman" w:cs="Times New Roman"/>
          <w:sz w:val="24"/>
          <w:szCs w:val="24"/>
        </w:rPr>
      </w:pP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sidRPr="00AC6069">
        <w:rPr>
          <w:rFonts w:ascii="Times New Roman" w:hAnsi="Times New Roman" w:cs="Times New Roman"/>
          <w:sz w:val="24"/>
          <w:szCs w:val="24"/>
        </w:rPr>
        <w:t xml:space="preserve">In general, </w:t>
      </w:r>
      <w:r>
        <w:rPr>
          <w:rFonts w:ascii="Times New Roman" w:hAnsi="Times New Roman" w:cs="Times New Roman"/>
          <w:sz w:val="24"/>
          <w:szCs w:val="24"/>
        </w:rPr>
        <w:t xml:space="preserve">studies such as </w:t>
      </w:r>
      <w:proofErr w:type="spellStart"/>
      <w:r w:rsidR="00847CFD">
        <w:rPr>
          <w:rFonts w:ascii="Times New Roman" w:hAnsi="Times New Roman" w:cs="Times New Roman"/>
          <w:sz w:val="24"/>
          <w:szCs w:val="24"/>
        </w:rPr>
        <w:t>Chetty</w:t>
      </w:r>
      <w:proofErr w:type="spellEnd"/>
      <w:r w:rsidR="00847CFD">
        <w:rPr>
          <w:rFonts w:ascii="Times New Roman" w:hAnsi="Times New Roman" w:cs="Times New Roman"/>
          <w:sz w:val="24"/>
          <w:szCs w:val="24"/>
        </w:rPr>
        <w:t xml:space="preserve"> et al. (2014</w:t>
      </w:r>
      <w:r w:rsidRPr="00AC6069">
        <w:rPr>
          <w:rFonts w:ascii="Times New Roman" w:hAnsi="Times New Roman" w:cs="Times New Roman"/>
          <w:sz w:val="24"/>
          <w:szCs w:val="24"/>
        </w:rPr>
        <w:t>) identify five broad factors that are important for mobility.</w:t>
      </w:r>
      <w:r w:rsidR="00847CFD">
        <w:rPr>
          <w:rStyle w:val="FootnoteReference"/>
          <w:rFonts w:ascii="Times New Roman" w:hAnsi="Times New Roman" w:cs="Times New Roman"/>
          <w:sz w:val="24"/>
          <w:szCs w:val="24"/>
        </w:rPr>
        <w:footnoteReference w:id="8"/>
      </w:r>
      <w:r w:rsidRPr="00E439E6">
        <w:rPr>
          <w:rFonts w:ascii="Times New Roman" w:hAnsi="Times New Roman" w:cs="Times New Roman"/>
          <w:sz w:val="24"/>
          <w:szCs w:val="24"/>
        </w:rPr>
        <w:t xml:space="preserve"> </w:t>
      </w:r>
      <w:r w:rsidRPr="00E877D5">
        <w:rPr>
          <w:rFonts w:ascii="Times New Roman" w:hAnsi="Times New Roman" w:cs="Times New Roman"/>
          <w:sz w:val="24"/>
          <w:szCs w:val="24"/>
        </w:rPr>
        <w:t>The strongest</w:t>
      </w:r>
      <w:r>
        <w:rPr>
          <w:rFonts w:ascii="Times New Roman" w:hAnsi="Times New Roman" w:cs="Times New Roman"/>
          <w:sz w:val="24"/>
          <w:szCs w:val="24"/>
        </w:rPr>
        <w:t xml:space="preserve"> </w:t>
      </w:r>
      <w:r w:rsidR="009871C1">
        <w:rPr>
          <w:rFonts w:ascii="Times New Roman" w:hAnsi="Times New Roman" w:cs="Times New Roman"/>
          <w:sz w:val="24"/>
          <w:szCs w:val="24"/>
        </w:rPr>
        <w:t>correlate of mobility</w:t>
      </w:r>
      <w:r w:rsidRPr="00E877D5">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E877D5">
        <w:rPr>
          <w:rFonts w:ascii="Times New Roman" w:hAnsi="Times New Roman" w:cs="Times New Roman"/>
          <w:sz w:val="24"/>
          <w:szCs w:val="24"/>
        </w:rPr>
        <w:t xml:space="preserve">family structure, </w:t>
      </w:r>
      <w:r>
        <w:rPr>
          <w:rFonts w:ascii="Times New Roman" w:hAnsi="Times New Roman" w:cs="Times New Roman"/>
          <w:sz w:val="24"/>
          <w:szCs w:val="24"/>
        </w:rPr>
        <w:t>which is defined as</w:t>
      </w:r>
      <w:r w:rsidRPr="00E877D5">
        <w:rPr>
          <w:rFonts w:ascii="Times New Roman" w:hAnsi="Times New Roman" w:cs="Times New Roman"/>
          <w:sz w:val="24"/>
          <w:szCs w:val="24"/>
        </w:rPr>
        <w:t xml:space="preserve"> the </w:t>
      </w:r>
      <w:r>
        <w:rPr>
          <w:rFonts w:ascii="Times New Roman" w:hAnsi="Times New Roman" w:cs="Times New Roman"/>
          <w:sz w:val="24"/>
          <w:szCs w:val="24"/>
        </w:rPr>
        <w:t>prevalence</w:t>
      </w:r>
      <w:r w:rsidRPr="00E877D5">
        <w:rPr>
          <w:rFonts w:ascii="Times New Roman" w:hAnsi="Times New Roman" w:cs="Times New Roman"/>
          <w:sz w:val="24"/>
          <w:szCs w:val="24"/>
        </w:rPr>
        <w:t xml:space="preserve"> of single parents in </w:t>
      </w:r>
      <w:r>
        <w:rPr>
          <w:rFonts w:ascii="Times New Roman" w:hAnsi="Times New Roman" w:cs="Times New Roman"/>
          <w:sz w:val="24"/>
          <w:szCs w:val="24"/>
        </w:rPr>
        <w:t>an</w:t>
      </w:r>
      <w:r w:rsidRPr="00E877D5">
        <w:rPr>
          <w:rFonts w:ascii="Times New Roman" w:hAnsi="Times New Roman" w:cs="Times New Roman"/>
          <w:sz w:val="24"/>
          <w:szCs w:val="24"/>
        </w:rPr>
        <w:t xml:space="preserve"> area. </w:t>
      </w:r>
      <w:proofErr w:type="spellStart"/>
      <w:r>
        <w:rPr>
          <w:rFonts w:ascii="Times New Roman" w:hAnsi="Times New Roman" w:cs="Times New Roman"/>
          <w:sz w:val="24"/>
          <w:szCs w:val="24"/>
        </w:rPr>
        <w:t>Chetty</w:t>
      </w:r>
      <w:proofErr w:type="spellEnd"/>
      <w:r>
        <w:rPr>
          <w:rFonts w:ascii="Times New Roman" w:hAnsi="Times New Roman" w:cs="Times New Roman"/>
          <w:sz w:val="24"/>
          <w:szCs w:val="24"/>
        </w:rPr>
        <w:t xml:space="preserve"> et al.</w:t>
      </w:r>
      <w:r w:rsidRPr="00AC606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C6069">
        <w:rPr>
          <w:rFonts w:ascii="Times New Roman" w:hAnsi="Times New Roman" w:cs="Times New Roman"/>
          <w:sz w:val="24"/>
          <w:szCs w:val="24"/>
        </w:rPr>
        <w:t xml:space="preserve">find a strong negative correlation between standard measures of racial and income segregation and upward mobility. </w:t>
      </w:r>
      <w:r>
        <w:rPr>
          <w:rFonts w:ascii="Times New Roman" w:hAnsi="Times New Roman" w:cs="Times New Roman"/>
          <w:sz w:val="24"/>
          <w:szCs w:val="24"/>
        </w:rPr>
        <w:t xml:space="preserve">Not </w:t>
      </w:r>
      <w:r>
        <w:rPr>
          <w:rFonts w:ascii="Times New Roman" w:hAnsi="Times New Roman" w:cs="Times New Roman"/>
          <w:sz w:val="24"/>
          <w:szCs w:val="24"/>
        </w:rPr>
        <w:lastRenderedPageBreak/>
        <w:t>surprisingly, e</w:t>
      </w:r>
      <w:r w:rsidRPr="00AC6069">
        <w:rPr>
          <w:rFonts w:ascii="Times New Roman" w:hAnsi="Times New Roman" w:cs="Times New Roman"/>
          <w:sz w:val="24"/>
          <w:szCs w:val="24"/>
        </w:rPr>
        <w:t>ducation plays an important role</w:t>
      </w:r>
      <w:r>
        <w:rPr>
          <w:rFonts w:ascii="Times New Roman" w:hAnsi="Times New Roman" w:cs="Times New Roman"/>
          <w:sz w:val="24"/>
          <w:szCs w:val="24"/>
        </w:rPr>
        <w:t xml:space="preserve"> too</w:t>
      </w:r>
      <w:r w:rsidRPr="00AC6069">
        <w:rPr>
          <w:rFonts w:ascii="Times New Roman" w:hAnsi="Times New Roman" w:cs="Times New Roman"/>
          <w:sz w:val="24"/>
          <w:szCs w:val="24"/>
        </w:rPr>
        <w:t>.</w:t>
      </w:r>
      <w:r w:rsidRPr="00FD0D42">
        <w:rPr>
          <w:rFonts w:ascii="Times New Roman" w:hAnsi="Times New Roman" w:cs="Times New Roman"/>
          <w:sz w:val="24"/>
          <w:szCs w:val="24"/>
        </w:rPr>
        <w:t xml:space="preserve"> </w:t>
      </w:r>
      <w:r>
        <w:rPr>
          <w:rFonts w:ascii="Times New Roman" w:hAnsi="Times New Roman" w:cs="Times New Roman"/>
          <w:sz w:val="24"/>
          <w:szCs w:val="24"/>
        </w:rPr>
        <w:t xml:space="preserve">The paper finds that moving from the lowest-income to highest-income parents increases the college attendance rate by 67.5 percentage points, similar to estimates reported by Bailey and </w:t>
      </w:r>
      <w:proofErr w:type="spellStart"/>
      <w:r>
        <w:rPr>
          <w:rFonts w:ascii="Times New Roman" w:hAnsi="Times New Roman" w:cs="Times New Roman"/>
          <w:sz w:val="24"/>
          <w:szCs w:val="24"/>
        </w:rPr>
        <w:t>Dynarski</w:t>
      </w:r>
      <w:proofErr w:type="spellEnd"/>
      <w:r>
        <w:rPr>
          <w:rFonts w:ascii="Times New Roman" w:hAnsi="Times New Roman" w:cs="Times New Roman"/>
          <w:sz w:val="24"/>
          <w:szCs w:val="24"/>
        </w:rPr>
        <w:t xml:space="preserve"> (2011) using survey data. This suggests that much of the divergence in outcomes between children from low vs. high income families emerges well before they enter the labor market.</w:t>
      </w:r>
      <w:r w:rsidRPr="00AC6069">
        <w:rPr>
          <w:rFonts w:ascii="Times New Roman" w:hAnsi="Times New Roman" w:cs="Times New Roman"/>
          <w:sz w:val="24"/>
          <w:szCs w:val="24"/>
        </w:rPr>
        <w:t xml:space="preserve"> In gen</w:t>
      </w:r>
      <w:r w:rsidRPr="00E877D5">
        <w:rPr>
          <w:rFonts w:ascii="Times New Roman" w:hAnsi="Times New Roman" w:cs="Times New Roman"/>
          <w:sz w:val="24"/>
          <w:szCs w:val="24"/>
        </w:rPr>
        <w:t xml:space="preserve">eral, areas with higher test scores, lower dropout rates and smaller class sizes have higher rates of upward mobility. </w:t>
      </w:r>
      <w:r>
        <w:rPr>
          <w:rFonts w:ascii="Times New Roman" w:hAnsi="Times New Roman" w:cs="Times New Roman"/>
          <w:sz w:val="24"/>
          <w:szCs w:val="24"/>
        </w:rPr>
        <w:t>S</w:t>
      </w:r>
      <w:r w:rsidRPr="00E877D5">
        <w:rPr>
          <w:rFonts w:ascii="Times New Roman" w:hAnsi="Times New Roman" w:cs="Times New Roman"/>
          <w:sz w:val="24"/>
          <w:szCs w:val="24"/>
        </w:rPr>
        <w:t>ocial capital indices (Putnam, 1995)</w:t>
      </w:r>
      <w:r>
        <w:rPr>
          <w:rFonts w:ascii="Times New Roman" w:hAnsi="Times New Roman" w:cs="Times New Roman"/>
          <w:sz w:val="24"/>
          <w:szCs w:val="24"/>
        </w:rPr>
        <w:t xml:space="preserve">, </w:t>
      </w:r>
      <w:r w:rsidRPr="00E877D5">
        <w:rPr>
          <w:rFonts w:ascii="Times New Roman" w:hAnsi="Times New Roman" w:cs="Times New Roman"/>
          <w:sz w:val="24"/>
          <w:szCs w:val="24"/>
        </w:rPr>
        <w:t xml:space="preserve">which </w:t>
      </w:r>
      <w:r>
        <w:rPr>
          <w:rFonts w:ascii="Times New Roman" w:hAnsi="Times New Roman" w:cs="Times New Roman"/>
          <w:sz w:val="24"/>
          <w:szCs w:val="24"/>
        </w:rPr>
        <w:t>reflect</w:t>
      </w:r>
      <w:r w:rsidRPr="00E877D5">
        <w:rPr>
          <w:rFonts w:ascii="Times New Roman" w:hAnsi="Times New Roman" w:cs="Times New Roman"/>
          <w:sz w:val="24"/>
          <w:szCs w:val="24"/>
        </w:rPr>
        <w:t xml:space="preserve"> the strength of social networks and community involvement in an area</w:t>
      </w:r>
      <w:r w:rsidR="00A740BD">
        <w:rPr>
          <w:rFonts w:ascii="Times New Roman" w:hAnsi="Times New Roman" w:cs="Times New Roman"/>
          <w:sz w:val="24"/>
          <w:szCs w:val="24"/>
        </w:rPr>
        <w:t>,</w:t>
      </w:r>
      <w:r w:rsidRPr="00E877D5">
        <w:rPr>
          <w:rFonts w:ascii="Times New Roman" w:hAnsi="Times New Roman" w:cs="Times New Roman"/>
          <w:sz w:val="24"/>
          <w:szCs w:val="24"/>
        </w:rPr>
        <w:t xml:space="preserve"> are</w:t>
      </w:r>
      <w:r>
        <w:rPr>
          <w:rFonts w:ascii="Times New Roman" w:hAnsi="Times New Roman" w:cs="Times New Roman"/>
          <w:sz w:val="24"/>
          <w:szCs w:val="24"/>
        </w:rPr>
        <w:t xml:space="preserve"> also</w:t>
      </w:r>
      <w:r w:rsidRPr="00E877D5">
        <w:rPr>
          <w:rFonts w:ascii="Times New Roman" w:hAnsi="Times New Roman" w:cs="Times New Roman"/>
          <w:sz w:val="24"/>
          <w:szCs w:val="24"/>
        </w:rPr>
        <w:t xml:space="preserve"> very strongly correlated with mobility. </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following section, I address how each of these factors is particularly relevant for the African American community and provide some policy suggestions for addressing these challenges. </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p>
    <w:p w:rsidR="003A18FF" w:rsidRPr="00AC6069" w:rsidRDefault="003A18FF" w:rsidP="003A18FF">
      <w:pPr>
        <w:autoSpaceDE w:val="0"/>
        <w:autoSpaceDN w:val="0"/>
        <w:adjustRightInd w:val="0"/>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III. Challenges and Policy Suggestions</w:t>
      </w:r>
    </w:p>
    <w:p w:rsidR="003A18FF" w:rsidRPr="00AC6069" w:rsidRDefault="003A18FF" w:rsidP="003A18FF">
      <w:pPr>
        <w:autoSpaceDE w:val="0"/>
        <w:autoSpaceDN w:val="0"/>
        <w:adjustRightInd w:val="0"/>
        <w:spacing w:after="0" w:line="360" w:lineRule="auto"/>
        <w:ind w:firstLine="720"/>
        <w:jc w:val="center"/>
        <w:rPr>
          <w:rFonts w:ascii="Times New Roman" w:hAnsi="Times New Roman" w:cs="Times New Roman"/>
          <w:sz w:val="24"/>
          <w:szCs w:val="24"/>
        </w:rPr>
      </w:pPr>
    </w:p>
    <w:p w:rsidR="003A18FF" w:rsidRPr="00614DFB" w:rsidRDefault="003A18FF" w:rsidP="003A18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III.A. </w:t>
      </w:r>
      <w:r w:rsidRPr="00614DFB">
        <w:rPr>
          <w:rFonts w:ascii="Times New Roman" w:hAnsi="Times New Roman" w:cs="Times New Roman"/>
          <w:sz w:val="24"/>
          <w:szCs w:val="24"/>
        </w:rPr>
        <w:t xml:space="preserve">Addressing </w:t>
      </w:r>
      <w:r>
        <w:rPr>
          <w:rFonts w:ascii="Times New Roman" w:hAnsi="Times New Roman" w:cs="Times New Roman"/>
          <w:sz w:val="24"/>
          <w:szCs w:val="24"/>
        </w:rPr>
        <w:t>s</w:t>
      </w:r>
      <w:r w:rsidRPr="00614DFB">
        <w:rPr>
          <w:rFonts w:ascii="Times New Roman" w:hAnsi="Times New Roman" w:cs="Times New Roman"/>
          <w:sz w:val="24"/>
          <w:szCs w:val="24"/>
        </w:rPr>
        <w:t>egregation issues</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Segregation, both by race and income, is an important factor influencing economi</w:t>
      </w:r>
      <w:r w:rsidR="00584A6E">
        <w:rPr>
          <w:rFonts w:ascii="Times New Roman" w:hAnsi="Times New Roman" w:cs="Times New Roman"/>
          <w:sz w:val="24"/>
          <w:szCs w:val="24"/>
        </w:rPr>
        <w:t xml:space="preserve">c mobility. </w:t>
      </w:r>
      <w:proofErr w:type="spellStart"/>
      <w:r w:rsidR="00584A6E">
        <w:rPr>
          <w:rFonts w:ascii="Times New Roman" w:hAnsi="Times New Roman" w:cs="Times New Roman"/>
          <w:sz w:val="24"/>
          <w:szCs w:val="24"/>
        </w:rPr>
        <w:t>Chetty</w:t>
      </w:r>
      <w:proofErr w:type="spellEnd"/>
      <w:r w:rsidR="00584A6E">
        <w:rPr>
          <w:rFonts w:ascii="Times New Roman" w:hAnsi="Times New Roman" w:cs="Times New Roman"/>
          <w:sz w:val="24"/>
          <w:szCs w:val="24"/>
        </w:rPr>
        <w:t xml:space="preserve"> et al. (2014</w:t>
      </w:r>
      <w:r>
        <w:rPr>
          <w:rFonts w:ascii="Times New Roman" w:hAnsi="Times New Roman" w:cs="Times New Roman"/>
          <w:sz w:val="24"/>
          <w:szCs w:val="24"/>
        </w:rPr>
        <w:t>) find that upward economic mobility is lower in areas with large African-American populations. Racially segregated areas have especially lower levels of upward mobility. Compounding this problem is the fact that areas with larger African-American populations also exhibit greater income segregation. Further, blacks are far more likely than whites to live in areas of concentrated poverty.</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3A18FF" w:rsidRPr="00AC6069"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Living in isolation from high and middle income families has negative effects on low-income </w:t>
      </w:r>
      <w:r w:rsidR="003E6D6F">
        <w:rPr>
          <w:rFonts w:ascii="Times New Roman" w:hAnsi="Times New Roman" w:cs="Times New Roman"/>
          <w:sz w:val="24"/>
          <w:szCs w:val="24"/>
        </w:rPr>
        <w:t xml:space="preserve">and minority </w:t>
      </w:r>
      <w:r>
        <w:rPr>
          <w:rFonts w:ascii="Times New Roman" w:hAnsi="Times New Roman" w:cs="Times New Roman"/>
          <w:sz w:val="24"/>
          <w:szCs w:val="24"/>
        </w:rPr>
        <w:t>families. In particular, many studies find that blacks who live in segregated metropolitan areas have lower educational attainment and lower earnings than their counterparts who live in more integrated areas.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One reason for this is that poor and minority communities do not have the benefit of interacting with peer groups that may be more likely to believe in the advantages of good schooling or may be able to provide guidance and networks for finding employment. Second, income segregation leads to poor funding for local public schools that predominantly serve low-income children. Finally, segregation is also an issue when individuals </w:t>
      </w:r>
      <w:r>
        <w:rPr>
          <w:rFonts w:ascii="Times New Roman" w:hAnsi="Times New Roman" w:cs="Times New Roman"/>
          <w:sz w:val="24"/>
          <w:szCs w:val="24"/>
        </w:rPr>
        <w:lastRenderedPageBreak/>
        <w:t xml:space="preserve">live in large, sprawled out areas and have long commutes to work. This affects their ability to match with good jobs and increases the cost of search for these jobs. Indeed, the paper finds higher upward mobility in areas with </w:t>
      </w:r>
      <w:proofErr w:type="gramStart"/>
      <w:r>
        <w:rPr>
          <w:rFonts w:ascii="Times New Roman" w:hAnsi="Times New Roman" w:cs="Times New Roman"/>
          <w:sz w:val="24"/>
          <w:szCs w:val="24"/>
        </w:rPr>
        <w:t>less sprawl</w:t>
      </w:r>
      <w:proofErr w:type="gramEnd"/>
      <w:r>
        <w:rPr>
          <w:rFonts w:ascii="Times New Roman" w:hAnsi="Times New Roman" w:cs="Times New Roman"/>
          <w:sz w:val="24"/>
          <w:szCs w:val="24"/>
        </w:rPr>
        <w:t>.</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recent paper, </w:t>
      </w:r>
      <w:proofErr w:type="spellStart"/>
      <w:r>
        <w:rPr>
          <w:rFonts w:ascii="Times New Roman" w:hAnsi="Times New Roman" w:cs="Times New Roman"/>
          <w:sz w:val="24"/>
          <w:szCs w:val="24"/>
        </w:rPr>
        <w:t>Boustan</w:t>
      </w:r>
      <w:proofErr w:type="spellEnd"/>
      <w:r>
        <w:rPr>
          <w:rFonts w:ascii="Times New Roman" w:hAnsi="Times New Roman" w:cs="Times New Roman"/>
          <w:sz w:val="24"/>
          <w:szCs w:val="24"/>
        </w:rPr>
        <w:t xml:space="preserve"> (2013) outlines three types of policies to overcome the problems of residential segregation: place-based, people-based and indirect</w:t>
      </w:r>
      <w:r w:rsidR="00796158">
        <w:rPr>
          <w:rFonts w:ascii="Times New Roman" w:hAnsi="Times New Roman" w:cs="Times New Roman"/>
          <w:sz w:val="24"/>
          <w:szCs w:val="24"/>
        </w:rPr>
        <w:t>.</w:t>
      </w:r>
      <w:r>
        <w:rPr>
          <w:rFonts w:ascii="Times New Roman" w:hAnsi="Times New Roman" w:cs="Times New Roman"/>
          <w:sz w:val="24"/>
          <w:szCs w:val="24"/>
        </w:rPr>
        <w:t xml:space="preserve"> Place-based policies seek to improve the housing stock of poor or minority neighborhoods to encourage in-migration of more affluent households. Ellen (1999) advocates using “community betterment projects” in black neighborhoods, such as improving school buildings, reducing crime rates, or investing in neighborhood infrastructure, to encourage integration.</w:t>
      </w:r>
      <w:r w:rsidR="006210AC">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However, survey results suggest that these place-based policies may not be effective. </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People-based policies help individual home-buyers or renters gain access to existing neighborhoods. These policies involve lending to low-income borrowers regardless of the characteristics of the neighborhoods in which they are purchasing a home. This approach is typified by the Communit</w:t>
      </w:r>
      <w:r w:rsidR="00474AF4">
        <w:rPr>
          <w:rFonts w:ascii="Times New Roman" w:hAnsi="Times New Roman" w:cs="Times New Roman"/>
          <w:sz w:val="24"/>
          <w:szCs w:val="24"/>
        </w:rPr>
        <w:t>y Reinvestment Act of 1977</w:t>
      </w:r>
      <w:r>
        <w:rPr>
          <w:rFonts w:ascii="Times New Roman" w:hAnsi="Times New Roman" w:cs="Times New Roman"/>
          <w:sz w:val="24"/>
          <w:szCs w:val="24"/>
        </w:rPr>
        <w:t>. Friedman and Squires (2005) find that the CRA was moderately successful in reducing residential segregation.</w:t>
      </w:r>
      <w:r w:rsidR="00A96E33">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Also, empirical studies suggest that housing vouchers, which moved African-American children out of public housing and into less distressed homes, had positive impacts on test scores. Experiments conducted in the cities of Baltimore and Chicago were particularly successful in this regard</w:t>
      </w:r>
      <w:r w:rsidR="00551053">
        <w:rPr>
          <w:rFonts w:ascii="Times New Roman" w:hAnsi="Times New Roman" w:cs="Times New Roman"/>
          <w:sz w:val="24"/>
          <w:szCs w:val="24"/>
        </w:rPr>
        <w:t>, though there were cases where such experiments had no impact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Indirect policies aim to</w:t>
      </w:r>
      <w:r w:rsidR="00551053">
        <w:rPr>
          <w:rFonts w:ascii="Times New Roman" w:hAnsi="Times New Roman" w:cs="Times New Roman"/>
          <w:sz w:val="24"/>
          <w:szCs w:val="24"/>
        </w:rPr>
        <w:t xml:space="preserve"> </w:t>
      </w:r>
      <w:r>
        <w:rPr>
          <w:rFonts w:ascii="Times New Roman" w:hAnsi="Times New Roman" w:cs="Times New Roman"/>
          <w:sz w:val="24"/>
          <w:szCs w:val="24"/>
        </w:rPr>
        <w:t xml:space="preserve">combat the consequences of residential segregation rather </w:t>
      </w:r>
      <w:r w:rsidR="00977E42">
        <w:rPr>
          <w:rFonts w:ascii="Times New Roman" w:hAnsi="Times New Roman" w:cs="Times New Roman"/>
          <w:sz w:val="24"/>
          <w:szCs w:val="24"/>
        </w:rPr>
        <w:t xml:space="preserve">than </w:t>
      </w:r>
      <w:r>
        <w:rPr>
          <w:rFonts w:ascii="Times New Roman" w:hAnsi="Times New Roman" w:cs="Times New Roman"/>
          <w:sz w:val="24"/>
          <w:szCs w:val="24"/>
        </w:rPr>
        <w:t>the root causes. To this end, these policies include extending public transit routes into poor areas (</w:t>
      </w:r>
      <w:proofErr w:type="spellStart"/>
      <w:r>
        <w:rPr>
          <w:rFonts w:ascii="Times New Roman" w:hAnsi="Times New Roman" w:cs="Times New Roman"/>
          <w:sz w:val="24"/>
          <w:szCs w:val="24"/>
        </w:rPr>
        <w:t>Holzer</w:t>
      </w:r>
      <w:proofErr w:type="spellEnd"/>
      <w:r>
        <w:rPr>
          <w:rFonts w:ascii="Times New Roman" w:hAnsi="Times New Roman" w:cs="Times New Roman"/>
          <w:sz w:val="24"/>
          <w:szCs w:val="24"/>
        </w:rPr>
        <w:t>, Quigley</w:t>
      </w:r>
      <w:r w:rsidR="009D5B6C">
        <w:rPr>
          <w:rFonts w:ascii="Times New Roman" w:hAnsi="Times New Roman" w:cs="Times New Roman"/>
          <w:sz w:val="24"/>
          <w:szCs w:val="24"/>
        </w:rPr>
        <w:t>,</w:t>
      </w:r>
      <w:r>
        <w:rPr>
          <w:rFonts w:ascii="Times New Roman" w:hAnsi="Times New Roman" w:cs="Times New Roman"/>
          <w:sz w:val="24"/>
          <w:szCs w:val="24"/>
        </w:rPr>
        <w:t xml:space="preserve"> and Raphael 2003) or, as suggested by Raphael and Stoll (2001), subsidizing car ownership to connect black neighborhoods to job opportunities.</w:t>
      </w:r>
      <w:r w:rsidR="009D5B6C">
        <w:rPr>
          <w:rStyle w:val="FootnoteReference"/>
          <w:rFonts w:ascii="Times New Roman" w:hAnsi="Times New Roman" w:cs="Times New Roman"/>
          <w:sz w:val="24"/>
          <w:szCs w:val="24"/>
        </w:rPr>
        <w:footnoteReference w:id="14"/>
      </w:r>
      <w:r w:rsidR="001B4AB7">
        <w:rPr>
          <w:rFonts w:ascii="Times New Roman" w:hAnsi="Times New Roman" w:cs="Times New Roman"/>
          <w:sz w:val="24"/>
          <w:szCs w:val="24"/>
        </w:rPr>
        <w:t xml:space="preserve"> </w:t>
      </w:r>
      <w:r w:rsidR="001B4AB7">
        <w:rPr>
          <w:rStyle w:val="FootnoteReference"/>
          <w:rFonts w:ascii="Times New Roman" w:hAnsi="Times New Roman" w:cs="Times New Roman"/>
          <w:sz w:val="24"/>
          <w:szCs w:val="24"/>
        </w:rPr>
        <w:footnoteReference w:id="15"/>
      </w:r>
    </w:p>
    <w:p w:rsidR="003A18FF" w:rsidRPr="00E877D5"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Others have proposed investment in </w:t>
      </w:r>
      <w:r>
        <w:rPr>
          <w:rFonts w:ascii="Times New Roman" w:hAnsi="Times New Roman" w:cs="Times New Roman"/>
          <w:color w:val="000000"/>
          <w:sz w:val="24"/>
          <w:szCs w:val="24"/>
        </w:rPr>
        <w:t>early childhood development and education</w:t>
      </w:r>
      <w:r>
        <w:rPr>
          <w:rFonts w:ascii="Times New Roman" w:hAnsi="Times New Roman" w:cs="Times New Roman"/>
          <w:sz w:val="24"/>
          <w:szCs w:val="24"/>
        </w:rPr>
        <w:t xml:space="preserve"> to </w:t>
      </w:r>
      <w:r w:rsidRPr="00AC6069">
        <w:rPr>
          <w:rFonts w:ascii="Times New Roman" w:hAnsi="Times New Roman" w:cs="Times New Roman"/>
          <w:color w:val="000000"/>
          <w:sz w:val="24"/>
          <w:szCs w:val="24"/>
        </w:rPr>
        <w:t xml:space="preserve">improve educational attainment, decrease reliance on welfare, and increase lifetime earnings, </w:t>
      </w:r>
      <w:r w:rsidRPr="00AC6069">
        <w:rPr>
          <w:rFonts w:ascii="Times New Roman" w:hAnsi="Times New Roman" w:cs="Times New Roman"/>
          <w:color w:val="000000"/>
          <w:sz w:val="24"/>
          <w:szCs w:val="24"/>
        </w:rPr>
        <w:lastRenderedPageBreak/>
        <w:t>especially for low-income children.</w:t>
      </w:r>
      <w:r>
        <w:rPr>
          <w:rStyle w:val="FootnoteReference"/>
          <w:rFonts w:ascii="Times New Roman" w:hAnsi="Times New Roman" w:cs="Times New Roman"/>
          <w:sz w:val="24"/>
          <w:szCs w:val="24"/>
        </w:rPr>
        <w:footnoteReference w:id="16"/>
      </w:r>
      <w:r w:rsidRPr="00E877D5">
        <w:rPr>
          <w:rStyle w:val="A9"/>
          <w:rFonts w:ascii="Times New Roman" w:hAnsi="Times New Roman" w:cs="Times New Roman"/>
          <w:sz w:val="24"/>
          <w:szCs w:val="24"/>
        </w:rPr>
        <w:t xml:space="preserve"> </w:t>
      </w:r>
      <w:r>
        <w:rPr>
          <w:rStyle w:val="A9"/>
          <w:rFonts w:ascii="Times New Roman" w:hAnsi="Times New Roman" w:cs="Times New Roman"/>
          <w:sz w:val="24"/>
          <w:szCs w:val="24"/>
        </w:rPr>
        <w:t xml:space="preserve"> However, the efficacy of Pre-Kindergarten programs is unclear.</w:t>
      </w:r>
      <w:r>
        <w:rPr>
          <w:rStyle w:val="FootnoteReference"/>
          <w:rFonts w:ascii="Times New Roman" w:hAnsi="Times New Roman" w:cs="Times New Roman"/>
          <w:sz w:val="24"/>
          <w:szCs w:val="24"/>
        </w:rPr>
        <w:footnoteReference w:id="17"/>
      </w:r>
    </w:p>
    <w:p w:rsidR="003A18FF" w:rsidRPr="00AB327F" w:rsidRDefault="003A18FF" w:rsidP="003A18F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color w:val="000000"/>
          <w:sz w:val="24"/>
          <w:szCs w:val="24"/>
        </w:rPr>
        <w:t>In a paper from earlier this year, my AEI colleague Abby McCloskey and I propose</w:t>
      </w:r>
      <w:r>
        <w:rPr>
          <w:rStyle w:val="A9"/>
          <w:rFonts w:ascii="Times New Roman" w:hAnsi="Times New Roman" w:cs="Times New Roman"/>
          <w:sz w:val="24"/>
          <w:szCs w:val="24"/>
        </w:rPr>
        <w:t xml:space="preserve"> improving the human capital of disadvantaged city residents by introducing </w:t>
      </w:r>
      <w:r>
        <w:rPr>
          <w:rFonts w:ascii="Times New Roman" w:hAnsi="Times New Roman" w:cs="Times New Roman"/>
          <w:color w:val="000000"/>
          <w:sz w:val="24"/>
          <w:szCs w:val="24"/>
        </w:rPr>
        <w:t xml:space="preserve">a </w:t>
      </w:r>
      <w:r>
        <w:rPr>
          <w:rStyle w:val="A9"/>
          <w:rFonts w:ascii="Times New Roman" w:hAnsi="Times New Roman" w:cs="Times New Roman"/>
          <w:sz w:val="24"/>
          <w:szCs w:val="24"/>
        </w:rPr>
        <w:t>greater degree of school choice.</w:t>
      </w:r>
      <w:r w:rsidR="001248D3">
        <w:rPr>
          <w:rStyle w:val="FootnoteReference"/>
          <w:rFonts w:ascii="Times New Roman" w:hAnsi="Times New Roman" w:cs="Times New Roman"/>
          <w:color w:val="000000"/>
          <w:sz w:val="24"/>
          <w:szCs w:val="24"/>
        </w:rPr>
        <w:footnoteReference w:id="18"/>
      </w:r>
      <w:r>
        <w:rPr>
          <w:rFonts w:ascii="Times New Roman" w:hAnsi="Times New Roman" w:cs="Times New Roman"/>
          <w:color w:val="000000"/>
          <w:sz w:val="24"/>
          <w:szCs w:val="24"/>
        </w:rPr>
        <w:t xml:space="preserve"> </w:t>
      </w:r>
      <w:r w:rsidRPr="00E877D5">
        <w:rPr>
          <w:rFonts w:ascii="Times New Roman" w:hAnsi="Times New Roman" w:cs="Times New Roman"/>
          <w:sz w:val="24"/>
          <w:szCs w:val="24"/>
        </w:rPr>
        <w:t xml:space="preserve">In a recent paper, Hastings et al. (2012) find that school choice has </w:t>
      </w:r>
      <w:r>
        <w:rPr>
          <w:rFonts w:ascii="Times New Roman" w:hAnsi="Times New Roman" w:cs="Times New Roman"/>
          <w:sz w:val="24"/>
          <w:szCs w:val="24"/>
        </w:rPr>
        <w:t>significant and positive</w:t>
      </w:r>
      <w:r w:rsidRPr="00E877D5">
        <w:rPr>
          <w:rFonts w:ascii="Times New Roman" w:hAnsi="Times New Roman" w:cs="Times New Roman"/>
          <w:sz w:val="24"/>
          <w:szCs w:val="24"/>
        </w:rPr>
        <w:t xml:space="preserve"> impact</w:t>
      </w:r>
      <w:r>
        <w:rPr>
          <w:rFonts w:ascii="Times New Roman" w:hAnsi="Times New Roman" w:cs="Times New Roman"/>
          <w:sz w:val="24"/>
          <w:szCs w:val="24"/>
        </w:rPr>
        <w:t>s</w:t>
      </w:r>
      <w:r w:rsidRPr="00E877D5">
        <w:rPr>
          <w:rFonts w:ascii="Times New Roman" w:hAnsi="Times New Roman" w:cs="Times New Roman"/>
          <w:sz w:val="24"/>
          <w:szCs w:val="24"/>
        </w:rPr>
        <w:t xml:space="preserve"> on student t</w:t>
      </w:r>
      <w:r w:rsidR="00A660D0">
        <w:rPr>
          <w:rFonts w:ascii="Times New Roman" w:hAnsi="Times New Roman" w:cs="Times New Roman"/>
          <w:sz w:val="24"/>
          <w:szCs w:val="24"/>
        </w:rPr>
        <w:t>est scores and attendance rates.</w:t>
      </w:r>
      <w:r w:rsidR="00924230">
        <w:rPr>
          <w:rStyle w:val="FootnoteReference"/>
          <w:rFonts w:ascii="Times New Roman" w:hAnsi="Times New Roman" w:cs="Times New Roman"/>
          <w:sz w:val="24"/>
          <w:szCs w:val="24"/>
        </w:rPr>
        <w:footnoteReference w:id="19"/>
      </w:r>
      <w:r w:rsidR="00A660D0">
        <w:rPr>
          <w:rFonts w:ascii="Times New Roman" w:hAnsi="Times New Roman" w:cs="Times New Roman"/>
          <w:sz w:val="24"/>
          <w:szCs w:val="24"/>
        </w:rPr>
        <w:t xml:space="preserve"> </w:t>
      </w:r>
      <w:r>
        <w:rPr>
          <w:rFonts w:ascii="Times New Roman" w:hAnsi="Times New Roman" w:cs="Times New Roman"/>
          <w:sz w:val="24"/>
          <w:szCs w:val="24"/>
        </w:rPr>
        <w:t>Their study focuses on charter and public schools in a district comprised primarily of minority and low-income children.</w:t>
      </w:r>
      <w:r w:rsidRPr="00791C13">
        <w:rPr>
          <w:rFonts w:ascii="Times New Roman" w:hAnsi="Times New Roman" w:cs="Times New Roman"/>
          <w:sz w:val="24"/>
          <w:szCs w:val="24"/>
        </w:rPr>
        <w:t xml:space="preserve"> </w:t>
      </w:r>
      <w:r w:rsidRPr="00E877D5">
        <w:rPr>
          <w:rFonts w:ascii="Times New Roman" w:hAnsi="Times New Roman" w:cs="Times New Roman"/>
          <w:sz w:val="24"/>
          <w:szCs w:val="24"/>
        </w:rPr>
        <w:t>Th</w:t>
      </w:r>
      <w:r>
        <w:rPr>
          <w:rFonts w:ascii="Times New Roman" w:hAnsi="Times New Roman" w:cs="Times New Roman"/>
          <w:sz w:val="24"/>
          <w:szCs w:val="24"/>
        </w:rPr>
        <w:t>e paper provides</w:t>
      </w:r>
      <w:r w:rsidRPr="00E877D5">
        <w:rPr>
          <w:rFonts w:ascii="Times New Roman" w:hAnsi="Times New Roman" w:cs="Times New Roman"/>
          <w:sz w:val="24"/>
          <w:szCs w:val="24"/>
        </w:rPr>
        <w:t xml:space="preserve"> evidence that school choice programs raise test </w:t>
      </w:r>
      <w:r>
        <w:rPr>
          <w:rFonts w:ascii="Times New Roman" w:hAnsi="Times New Roman" w:cs="Times New Roman"/>
          <w:sz w:val="24"/>
          <w:szCs w:val="24"/>
        </w:rPr>
        <w:t>scores not just because students attend a better school, but also b</w:t>
      </w:r>
      <w:r w:rsidR="00474AF4">
        <w:rPr>
          <w:rFonts w:ascii="Times New Roman" w:hAnsi="Times New Roman" w:cs="Times New Roman"/>
          <w:sz w:val="24"/>
          <w:szCs w:val="24"/>
        </w:rPr>
        <w:t>ecause offering choice improves</w:t>
      </w:r>
      <w:r>
        <w:rPr>
          <w:rFonts w:ascii="Times New Roman" w:hAnsi="Times New Roman" w:cs="Times New Roman"/>
          <w:sz w:val="24"/>
          <w:szCs w:val="24"/>
        </w:rPr>
        <w:t xml:space="preserve"> student motivation and effort. </w:t>
      </w:r>
      <w:r w:rsidRPr="00E877D5">
        <w:rPr>
          <w:rFonts w:ascii="Times New Roman" w:hAnsi="Times New Roman" w:cs="Times New Roman"/>
          <w:sz w:val="24"/>
          <w:szCs w:val="24"/>
        </w:rPr>
        <w:t xml:space="preserve">For students who </w:t>
      </w:r>
      <w:r>
        <w:rPr>
          <w:rFonts w:ascii="Times New Roman" w:hAnsi="Times New Roman" w:cs="Times New Roman"/>
          <w:sz w:val="24"/>
          <w:szCs w:val="24"/>
        </w:rPr>
        <w:t>we</w:t>
      </w:r>
      <w:r w:rsidRPr="00E877D5">
        <w:rPr>
          <w:rFonts w:ascii="Times New Roman" w:hAnsi="Times New Roman" w:cs="Times New Roman"/>
          <w:sz w:val="24"/>
          <w:szCs w:val="24"/>
        </w:rPr>
        <w:t>re assigned their first-choice schools, truancy rates declined by 21 percent for those entering high school</w:t>
      </w:r>
      <w:r>
        <w:rPr>
          <w:rFonts w:ascii="Times New Roman" w:hAnsi="Times New Roman" w:cs="Times New Roman"/>
          <w:sz w:val="24"/>
          <w:szCs w:val="24"/>
        </w:rPr>
        <w:t xml:space="preserve"> and test scores improved significantly.</w:t>
      </w:r>
      <w:r w:rsidR="00D5671C">
        <w:rPr>
          <w:rFonts w:ascii="Times New Roman" w:hAnsi="Times New Roman" w:cs="Times New Roman"/>
          <w:sz w:val="24"/>
          <w:szCs w:val="24"/>
        </w:rPr>
        <w:t xml:space="preserve"> </w:t>
      </w:r>
      <w:r>
        <w:rPr>
          <w:rFonts w:ascii="Times New Roman" w:hAnsi="Times New Roman" w:cs="Times New Roman"/>
          <w:sz w:val="24"/>
          <w:szCs w:val="24"/>
        </w:rPr>
        <w:t>S</w:t>
      </w:r>
      <w:r w:rsidRPr="00E877D5">
        <w:rPr>
          <w:rFonts w:ascii="Times New Roman" w:hAnsi="Times New Roman" w:cs="Times New Roman"/>
          <w:sz w:val="24"/>
          <w:szCs w:val="24"/>
        </w:rPr>
        <w:t>tudents in charter schools</w:t>
      </w:r>
      <w:r>
        <w:rPr>
          <w:rFonts w:ascii="Times New Roman" w:hAnsi="Times New Roman" w:cs="Times New Roman"/>
          <w:sz w:val="24"/>
          <w:szCs w:val="24"/>
        </w:rPr>
        <w:t xml:space="preserve"> saw noticeable </w:t>
      </w:r>
      <w:r w:rsidR="00474AF4">
        <w:rPr>
          <w:rFonts w:ascii="Times New Roman" w:hAnsi="Times New Roman" w:cs="Times New Roman"/>
          <w:sz w:val="24"/>
          <w:szCs w:val="24"/>
        </w:rPr>
        <w:t>gains</w:t>
      </w:r>
      <w:r w:rsidRPr="00E877D5">
        <w:rPr>
          <w:rFonts w:ascii="Times New Roman" w:hAnsi="Times New Roman" w:cs="Times New Roman"/>
          <w:sz w:val="24"/>
          <w:szCs w:val="24"/>
        </w:rPr>
        <w:t xml:space="preserve"> in reading and writing</w:t>
      </w:r>
      <w:r>
        <w:rPr>
          <w:rFonts w:ascii="Times New Roman" w:hAnsi="Times New Roman" w:cs="Times New Roman"/>
          <w:sz w:val="24"/>
          <w:szCs w:val="24"/>
        </w:rPr>
        <w:t>, while</w:t>
      </w:r>
      <w:r w:rsidRPr="00E877D5">
        <w:rPr>
          <w:rFonts w:ascii="Times New Roman" w:hAnsi="Times New Roman" w:cs="Times New Roman"/>
          <w:sz w:val="24"/>
          <w:szCs w:val="24"/>
        </w:rPr>
        <w:t xml:space="preserve"> public magnet school </w:t>
      </w:r>
      <w:r>
        <w:rPr>
          <w:rFonts w:ascii="Times New Roman" w:hAnsi="Times New Roman" w:cs="Times New Roman"/>
          <w:sz w:val="24"/>
          <w:szCs w:val="24"/>
        </w:rPr>
        <w:t>students saw</w:t>
      </w:r>
      <w:r w:rsidRPr="00E877D5">
        <w:rPr>
          <w:rFonts w:ascii="Times New Roman" w:hAnsi="Times New Roman" w:cs="Times New Roman"/>
          <w:sz w:val="24"/>
          <w:szCs w:val="24"/>
        </w:rPr>
        <w:t xml:space="preserve"> gains in reading and math. </w:t>
      </w:r>
      <w:r>
        <w:rPr>
          <w:rFonts w:ascii="Times New Roman" w:hAnsi="Times New Roman" w:cs="Times New Roman"/>
          <w:sz w:val="24"/>
          <w:szCs w:val="24"/>
        </w:rPr>
        <w:t xml:space="preserve">Even students who do not attend the charter schools seem to benefit from their existence. </w:t>
      </w:r>
      <w:r w:rsidRPr="007A5A1A">
        <w:rPr>
          <w:rFonts w:ascii="Times New Roman" w:eastAsia="Times New Roman" w:hAnsi="Times New Roman" w:cs="Times New Roman"/>
          <w:color w:val="1A1A1A"/>
          <w:sz w:val="24"/>
          <w:szCs w:val="24"/>
        </w:rPr>
        <w:t xml:space="preserve">Homes, </w:t>
      </w:r>
      <w:proofErr w:type="spellStart"/>
      <w:r w:rsidRPr="007A5A1A">
        <w:rPr>
          <w:rFonts w:ascii="Times New Roman" w:eastAsia="Times New Roman" w:hAnsi="Times New Roman" w:cs="Times New Roman"/>
          <w:color w:val="1A1A1A"/>
          <w:sz w:val="24"/>
          <w:szCs w:val="24"/>
        </w:rPr>
        <w:t>DeSimone</w:t>
      </w:r>
      <w:proofErr w:type="spellEnd"/>
      <w:r w:rsidRPr="007A5A1A">
        <w:rPr>
          <w:rFonts w:ascii="Times New Roman" w:eastAsia="Times New Roman" w:hAnsi="Times New Roman" w:cs="Times New Roman"/>
          <w:color w:val="1A1A1A"/>
          <w:sz w:val="24"/>
          <w:szCs w:val="24"/>
        </w:rPr>
        <w:t xml:space="preserve">, and Rupp (2003) find that </w:t>
      </w:r>
      <w:r w:rsidRPr="007A5A1A">
        <w:rPr>
          <w:rFonts w:ascii="Times New Roman" w:hAnsi="Times New Roman" w:cs="Times New Roman"/>
          <w:sz w:val="24"/>
          <w:szCs w:val="24"/>
        </w:rPr>
        <w:t xml:space="preserve">charter school competition raised the composite test scores </w:t>
      </w:r>
      <w:r>
        <w:rPr>
          <w:rFonts w:ascii="Times New Roman" w:hAnsi="Times New Roman" w:cs="Times New Roman"/>
          <w:sz w:val="24"/>
          <w:szCs w:val="24"/>
        </w:rPr>
        <w:t>of both</w:t>
      </w:r>
      <w:r w:rsidRPr="007A5A1A">
        <w:rPr>
          <w:rFonts w:ascii="Times New Roman" w:hAnsi="Times New Roman" w:cs="Times New Roman"/>
          <w:sz w:val="24"/>
          <w:szCs w:val="24"/>
        </w:rPr>
        <w:t xml:space="preserve"> district schools and charter schools.</w:t>
      </w:r>
      <w:r w:rsidR="00BD2520">
        <w:rPr>
          <w:rStyle w:val="FootnoteReference"/>
          <w:rFonts w:ascii="Times New Roman" w:hAnsi="Times New Roman" w:cs="Times New Roman"/>
          <w:sz w:val="24"/>
          <w:szCs w:val="24"/>
        </w:rPr>
        <w:footnoteReference w:id="20"/>
      </w:r>
      <w:r w:rsidRPr="007A5A1A">
        <w:rPr>
          <w:rFonts w:ascii="Times New Roman" w:eastAsia="Times New Roman" w:hAnsi="Times New Roman" w:cs="Times New Roman"/>
          <w:color w:val="1A1A1A"/>
          <w:sz w:val="24"/>
          <w:szCs w:val="24"/>
        </w:rPr>
        <w:t xml:space="preserve"> </w:t>
      </w:r>
    </w:p>
    <w:p w:rsidR="003A18FF" w:rsidRDefault="003A18FF" w:rsidP="003A18F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The Harlem Children’s Zone program in Harlem, New York combined charter schools with a web of community services designed to ensure that the social environment outside of school is supportive for children from birth to college graduation.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Under this program, charter schools were required to select students by lottery because the number of applicants exceeded the number of available slots for admission. The program was tremendously successful at increasing the achievement of the poorest minority children.</w:t>
      </w:r>
    </w:p>
    <w:p w:rsidR="003A18FF"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In a 2011 paper, Deming, Hastings, Kane</w:t>
      </w:r>
      <w:r>
        <w:rPr>
          <w:rFonts w:ascii="Times New Roman" w:hAnsi="Times New Roman" w:cs="Times New Roman"/>
          <w:sz w:val="24"/>
          <w:szCs w:val="24"/>
        </w:rPr>
        <w:t>,</w:t>
      </w:r>
      <w:r w:rsidRPr="00617196">
        <w:rPr>
          <w:rFonts w:ascii="Times New Roman" w:hAnsi="Times New Roman" w:cs="Times New Roman"/>
          <w:sz w:val="24"/>
          <w:szCs w:val="24"/>
        </w:rPr>
        <w:t xml:space="preserve"> and </w:t>
      </w:r>
      <w:proofErr w:type="spellStart"/>
      <w:r w:rsidRPr="00617196">
        <w:rPr>
          <w:rFonts w:ascii="Times New Roman" w:hAnsi="Times New Roman" w:cs="Times New Roman"/>
          <w:sz w:val="24"/>
          <w:szCs w:val="24"/>
        </w:rPr>
        <w:t>Staiger</w:t>
      </w:r>
      <w:proofErr w:type="spellEnd"/>
      <w:r w:rsidRPr="00617196">
        <w:rPr>
          <w:rFonts w:ascii="Times New Roman" w:hAnsi="Times New Roman" w:cs="Times New Roman"/>
          <w:sz w:val="24"/>
          <w:szCs w:val="24"/>
        </w:rPr>
        <w:t xml:space="preserve"> stud</w:t>
      </w:r>
      <w:r>
        <w:rPr>
          <w:rFonts w:ascii="Times New Roman" w:hAnsi="Times New Roman" w:cs="Times New Roman"/>
          <w:sz w:val="24"/>
          <w:szCs w:val="24"/>
        </w:rPr>
        <w:t>ied</w:t>
      </w:r>
      <w:r w:rsidRPr="00617196">
        <w:rPr>
          <w:rFonts w:ascii="Times New Roman" w:hAnsi="Times New Roman" w:cs="Times New Roman"/>
          <w:sz w:val="24"/>
          <w:szCs w:val="24"/>
        </w:rPr>
        <w:t xml:space="preserve"> the impact of a public school choice lottery in </w:t>
      </w:r>
      <w:r>
        <w:rPr>
          <w:rFonts w:ascii="Times New Roman" w:hAnsi="Times New Roman" w:cs="Times New Roman"/>
          <w:sz w:val="24"/>
          <w:szCs w:val="24"/>
        </w:rPr>
        <w:t xml:space="preserve">North Carolina </w:t>
      </w:r>
      <w:r w:rsidRPr="00617196">
        <w:rPr>
          <w:rFonts w:ascii="Times New Roman" w:hAnsi="Times New Roman" w:cs="Times New Roman"/>
          <w:sz w:val="24"/>
          <w:szCs w:val="24"/>
        </w:rPr>
        <w:t>on college enrollment and degree completion.</w:t>
      </w:r>
      <w:r w:rsidR="00252965">
        <w:rPr>
          <w:rStyle w:val="FootnoteReference"/>
          <w:rFonts w:ascii="Times New Roman" w:hAnsi="Times New Roman" w:cs="Times New Roman"/>
          <w:sz w:val="24"/>
          <w:szCs w:val="24"/>
        </w:rPr>
        <w:footnoteReference w:id="22"/>
      </w:r>
      <w:r w:rsidR="00252965">
        <w:rPr>
          <w:rFonts w:ascii="Times New Roman" w:hAnsi="Times New Roman" w:cs="Times New Roman"/>
          <w:sz w:val="24"/>
          <w:szCs w:val="24"/>
        </w:rPr>
        <w:t xml:space="preserve"> </w:t>
      </w:r>
      <w:r>
        <w:rPr>
          <w:rFonts w:ascii="Times New Roman" w:hAnsi="Times New Roman" w:cs="Times New Roman"/>
          <w:sz w:val="24"/>
          <w:szCs w:val="24"/>
        </w:rPr>
        <w:t>I</w:t>
      </w:r>
      <w:r w:rsidRPr="00617196">
        <w:rPr>
          <w:rFonts w:ascii="Times New Roman" w:hAnsi="Times New Roman" w:cs="Times New Roman"/>
          <w:sz w:val="24"/>
          <w:szCs w:val="24"/>
        </w:rPr>
        <w:t>n 2002</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w:t>
      </w:r>
      <w:r w:rsidRPr="00617196">
        <w:rPr>
          <w:rFonts w:ascii="Times New Roman" w:hAnsi="Times New Roman" w:cs="Times New Roman"/>
          <w:sz w:val="24"/>
          <w:szCs w:val="24"/>
        </w:rPr>
        <w:t>Charlotte-Mecklenburg</w:t>
      </w:r>
      <w:r>
        <w:rPr>
          <w:rFonts w:ascii="Times New Roman" w:hAnsi="Times New Roman" w:cs="Times New Roman"/>
          <w:sz w:val="24"/>
          <w:szCs w:val="24"/>
        </w:rPr>
        <w:t xml:space="preserve"> school district</w:t>
      </w:r>
      <w:r w:rsidRPr="00617196">
        <w:rPr>
          <w:rFonts w:ascii="Times New Roman" w:hAnsi="Times New Roman" w:cs="Times New Roman"/>
          <w:sz w:val="24"/>
          <w:szCs w:val="24"/>
        </w:rPr>
        <w:t xml:space="preserve"> implemented an open</w:t>
      </w:r>
      <w:r>
        <w:rPr>
          <w:rFonts w:ascii="Times New Roman" w:hAnsi="Times New Roman" w:cs="Times New Roman"/>
          <w:sz w:val="24"/>
          <w:szCs w:val="24"/>
        </w:rPr>
        <w:t>-</w:t>
      </w:r>
      <w:r w:rsidRPr="00617196">
        <w:rPr>
          <w:rFonts w:ascii="Times New Roman" w:hAnsi="Times New Roman" w:cs="Times New Roman"/>
          <w:sz w:val="24"/>
          <w:szCs w:val="24"/>
        </w:rPr>
        <w:t>enrollment scheme for public schools</w:t>
      </w:r>
      <w:r>
        <w:rPr>
          <w:rFonts w:ascii="Times New Roman" w:hAnsi="Times New Roman" w:cs="Times New Roman"/>
          <w:sz w:val="24"/>
          <w:szCs w:val="24"/>
        </w:rPr>
        <w:t xml:space="preserve">, ending the 30-year-old practice of busing students across the district to achieve racial desegregation. </w:t>
      </w:r>
      <w:r w:rsidRPr="00617196">
        <w:rPr>
          <w:rFonts w:ascii="Times New Roman" w:hAnsi="Times New Roman" w:cs="Times New Roman"/>
          <w:sz w:val="24"/>
          <w:szCs w:val="24"/>
        </w:rPr>
        <w:t xml:space="preserve">Under this scheme, students were guaranteed admission to their local public school but were allowed to rank their top three schools </w:t>
      </w:r>
      <w:r w:rsidR="0056083D">
        <w:rPr>
          <w:rFonts w:ascii="Times New Roman" w:hAnsi="Times New Roman" w:cs="Times New Roman"/>
          <w:sz w:val="24"/>
          <w:szCs w:val="24"/>
        </w:rPr>
        <w:t>across</w:t>
      </w:r>
      <w:r w:rsidRPr="00617196">
        <w:rPr>
          <w:rFonts w:ascii="Times New Roman" w:hAnsi="Times New Roman" w:cs="Times New Roman"/>
          <w:sz w:val="24"/>
          <w:szCs w:val="24"/>
        </w:rPr>
        <w:t xml:space="preserve"> the </w:t>
      </w:r>
      <w:r>
        <w:rPr>
          <w:rFonts w:ascii="Times New Roman" w:hAnsi="Times New Roman" w:cs="Times New Roman"/>
          <w:sz w:val="24"/>
          <w:szCs w:val="24"/>
        </w:rPr>
        <w:t xml:space="preserve">entire </w:t>
      </w:r>
      <w:r w:rsidRPr="00617196">
        <w:rPr>
          <w:rFonts w:ascii="Times New Roman" w:hAnsi="Times New Roman" w:cs="Times New Roman"/>
          <w:sz w:val="24"/>
          <w:szCs w:val="24"/>
        </w:rPr>
        <w:t xml:space="preserve">district. If these schools </w:t>
      </w:r>
      <w:r>
        <w:rPr>
          <w:rFonts w:ascii="Times New Roman" w:hAnsi="Times New Roman" w:cs="Times New Roman"/>
          <w:sz w:val="24"/>
          <w:szCs w:val="24"/>
        </w:rPr>
        <w:t>became</w:t>
      </w:r>
      <w:r w:rsidRPr="00617196">
        <w:rPr>
          <w:rFonts w:ascii="Times New Roman" w:hAnsi="Times New Roman" w:cs="Times New Roman"/>
          <w:sz w:val="24"/>
          <w:szCs w:val="24"/>
        </w:rPr>
        <w:t xml:space="preserve"> overenrolled, the decision </w:t>
      </w:r>
      <w:r>
        <w:rPr>
          <w:rFonts w:ascii="Times New Roman" w:hAnsi="Times New Roman" w:cs="Times New Roman"/>
          <w:sz w:val="24"/>
          <w:szCs w:val="24"/>
        </w:rPr>
        <w:t xml:space="preserve">of who would attend </w:t>
      </w:r>
      <w:r w:rsidRPr="00617196">
        <w:rPr>
          <w:rFonts w:ascii="Times New Roman" w:hAnsi="Times New Roman" w:cs="Times New Roman"/>
          <w:sz w:val="24"/>
          <w:szCs w:val="24"/>
        </w:rPr>
        <w:t>w</w:t>
      </w:r>
      <w:r>
        <w:rPr>
          <w:rFonts w:ascii="Times New Roman" w:hAnsi="Times New Roman" w:cs="Times New Roman"/>
          <w:sz w:val="24"/>
          <w:szCs w:val="24"/>
        </w:rPr>
        <w:t>ould be</w:t>
      </w:r>
      <w:r w:rsidRPr="00617196">
        <w:rPr>
          <w:rFonts w:ascii="Times New Roman" w:hAnsi="Times New Roman" w:cs="Times New Roman"/>
          <w:sz w:val="24"/>
          <w:szCs w:val="24"/>
        </w:rPr>
        <w:t xml:space="preserve"> made by lottery. Students from low-income and poorly performing high schools actively participated in the program and often chose higher</w:t>
      </w:r>
      <w:r>
        <w:rPr>
          <w:rFonts w:ascii="Times New Roman" w:hAnsi="Times New Roman" w:cs="Times New Roman"/>
          <w:sz w:val="24"/>
          <w:szCs w:val="24"/>
        </w:rPr>
        <w:t>-</w:t>
      </w:r>
      <w:r w:rsidRPr="00617196">
        <w:rPr>
          <w:rFonts w:ascii="Times New Roman" w:hAnsi="Times New Roman" w:cs="Times New Roman"/>
          <w:sz w:val="24"/>
          <w:szCs w:val="24"/>
        </w:rPr>
        <w:t xml:space="preserve">performing high schools over their neighborhood schools. </w:t>
      </w:r>
    </w:p>
    <w:p w:rsidR="003A18FF" w:rsidRPr="00617196" w:rsidRDefault="003A18FF" w:rsidP="003A18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authors found</w:t>
      </w:r>
      <w:r w:rsidRPr="00617196">
        <w:rPr>
          <w:rFonts w:ascii="Times New Roman" w:hAnsi="Times New Roman" w:cs="Times New Roman"/>
          <w:sz w:val="24"/>
          <w:szCs w:val="24"/>
        </w:rPr>
        <w:t xml:space="preserve"> a particularly significant impact of school choice on girls</w:t>
      </w:r>
      <w:r>
        <w:rPr>
          <w:rFonts w:ascii="Times New Roman" w:hAnsi="Times New Roman" w:cs="Times New Roman"/>
          <w:sz w:val="24"/>
          <w:szCs w:val="24"/>
        </w:rPr>
        <w:t>; they</w:t>
      </w:r>
      <w:r w:rsidRPr="00617196">
        <w:rPr>
          <w:rFonts w:ascii="Times New Roman" w:hAnsi="Times New Roman" w:cs="Times New Roman"/>
          <w:sz w:val="24"/>
          <w:szCs w:val="24"/>
        </w:rPr>
        <w:t xml:space="preserve"> respond</w:t>
      </w:r>
      <w:r>
        <w:rPr>
          <w:rFonts w:ascii="Times New Roman" w:hAnsi="Times New Roman" w:cs="Times New Roman"/>
          <w:sz w:val="24"/>
          <w:szCs w:val="24"/>
        </w:rPr>
        <w:t>ed</w:t>
      </w:r>
      <w:r w:rsidRPr="00617196">
        <w:rPr>
          <w:rFonts w:ascii="Times New Roman" w:hAnsi="Times New Roman" w:cs="Times New Roman"/>
          <w:sz w:val="24"/>
          <w:szCs w:val="24"/>
        </w:rPr>
        <w:t xml:space="preserve"> to the chance </w:t>
      </w:r>
      <w:r>
        <w:rPr>
          <w:rFonts w:ascii="Times New Roman" w:hAnsi="Times New Roman" w:cs="Times New Roman"/>
          <w:sz w:val="24"/>
          <w:szCs w:val="24"/>
        </w:rPr>
        <w:t>of</w:t>
      </w:r>
      <w:r w:rsidRPr="00617196">
        <w:rPr>
          <w:rFonts w:ascii="Times New Roman" w:hAnsi="Times New Roman" w:cs="Times New Roman"/>
          <w:sz w:val="24"/>
          <w:szCs w:val="24"/>
        </w:rPr>
        <w:t xml:space="preserve"> attend</w:t>
      </w:r>
      <w:r>
        <w:rPr>
          <w:rFonts w:ascii="Times New Roman" w:hAnsi="Times New Roman" w:cs="Times New Roman"/>
          <w:sz w:val="24"/>
          <w:szCs w:val="24"/>
        </w:rPr>
        <w:t>ing</w:t>
      </w:r>
      <w:r w:rsidRPr="00617196">
        <w:rPr>
          <w:rFonts w:ascii="Times New Roman" w:hAnsi="Times New Roman" w:cs="Times New Roman"/>
          <w:sz w:val="24"/>
          <w:szCs w:val="24"/>
        </w:rPr>
        <w:t xml:space="preserve"> a better school with higher grades and increase</w:t>
      </w:r>
      <w:r>
        <w:rPr>
          <w:rFonts w:ascii="Times New Roman" w:hAnsi="Times New Roman" w:cs="Times New Roman"/>
          <w:sz w:val="24"/>
          <w:szCs w:val="24"/>
        </w:rPr>
        <w:t>d enrollment</w:t>
      </w:r>
      <w:r w:rsidRPr="00617196">
        <w:rPr>
          <w:rFonts w:ascii="Times New Roman" w:hAnsi="Times New Roman" w:cs="Times New Roman"/>
          <w:sz w:val="24"/>
          <w:szCs w:val="24"/>
        </w:rPr>
        <w:t xml:space="preserve"> in college-preparatory course</w:t>
      </w:r>
      <w:r>
        <w:rPr>
          <w:rFonts w:ascii="Times New Roman" w:hAnsi="Times New Roman" w:cs="Times New Roman"/>
          <w:sz w:val="24"/>
          <w:szCs w:val="24"/>
        </w:rPr>
        <w:t>s</w:t>
      </w:r>
      <w:r w:rsidRPr="00617196">
        <w:rPr>
          <w:rFonts w:ascii="Times New Roman" w:hAnsi="Times New Roman" w:cs="Times New Roman"/>
          <w:sz w:val="24"/>
          <w:szCs w:val="24"/>
        </w:rPr>
        <w:t xml:space="preserve">. </w:t>
      </w:r>
      <w:r>
        <w:rPr>
          <w:rFonts w:ascii="Times New Roman" w:hAnsi="Times New Roman" w:cs="Times New Roman"/>
          <w:sz w:val="24"/>
          <w:szCs w:val="24"/>
        </w:rPr>
        <w:t>Strikingly, g</w:t>
      </w:r>
      <w:r w:rsidRPr="00617196">
        <w:rPr>
          <w:rFonts w:ascii="Times New Roman" w:hAnsi="Times New Roman" w:cs="Times New Roman"/>
          <w:sz w:val="24"/>
          <w:szCs w:val="24"/>
        </w:rPr>
        <w:t>irls who attended their first</w:t>
      </w:r>
      <w:r>
        <w:rPr>
          <w:rFonts w:ascii="Times New Roman" w:hAnsi="Times New Roman" w:cs="Times New Roman"/>
          <w:sz w:val="24"/>
          <w:szCs w:val="24"/>
        </w:rPr>
        <w:t>-</w:t>
      </w:r>
      <w:r w:rsidRPr="00617196">
        <w:rPr>
          <w:rFonts w:ascii="Times New Roman" w:hAnsi="Times New Roman" w:cs="Times New Roman"/>
          <w:sz w:val="24"/>
          <w:szCs w:val="24"/>
        </w:rPr>
        <w:t xml:space="preserve">choice school were 14 percentage points more likely to complete a </w:t>
      </w:r>
      <w:r>
        <w:rPr>
          <w:rFonts w:ascii="Times New Roman" w:hAnsi="Times New Roman" w:cs="Times New Roman"/>
          <w:sz w:val="24"/>
          <w:szCs w:val="24"/>
        </w:rPr>
        <w:t>four-</w:t>
      </w:r>
      <w:r w:rsidRPr="00617196">
        <w:rPr>
          <w:rFonts w:ascii="Times New Roman" w:hAnsi="Times New Roman" w:cs="Times New Roman"/>
          <w:sz w:val="24"/>
          <w:szCs w:val="24"/>
        </w:rPr>
        <w:t>year college degree.</w:t>
      </w:r>
    </w:p>
    <w:p w:rsidR="003A18FF" w:rsidRDefault="003A18FF" w:rsidP="003A18FF">
      <w:pPr>
        <w:pStyle w:val="ListParagraph"/>
        <w:spacing w:after="0" w:line="360" w:lineRule="auto"/>
        <w:ind w:left="0" w:firstLine="720"/>
        <w:jc w:val="both"/>
        <w:rPr>
          <w:rFonts w:ascii="Times New Roman" w:hAnsi="Times New Roman" w:cs="Times New Roman"/>
          <w:sz w:val="24"/>
          <w:szCs w:val="24"/>
        </w:rPr>
      </w:pPr>
      <w:r w:rsidRPr="00AC6069">
        <w:rPr>
          <w:rFonts w:ascii="Times New Roman" w:hAnsi="Times New Roman" w:cs="Times New Roman"/>
          <w:sz w:val="24"/>
          <w:szCs w:val="24"/>
        </w:rPr>
        <w:t>Therefore, expanding school choice could</w:t>
      </w:r>
      <w:r>
        <w:rPr>
          <w:rFonts w:ascii="Times New Roman" w:hAnsi="Times New Roman" w:cs="Times New Roman"/>
          <w:sz w:val="24"/>
          <w:szCs w:val="24"/>
        </w:rPr>
        <w:t>,</w:t>
      </w:r>
      <w:r w:rsidRPr="00AC6069">
        <w:rPr>
          <w:rFonts w:ascii="Times New Roman" w:hAnsi="Times New Roman" w:cs="Times New Roman"/>
          <w:sz w:val="24"/>
          <w:szCs w:val="24"/>
        </w:rPr>
        <w:t xml:space="preserve"> in the long-run</w:t>
      </w:r>
      <w:r>
        <w:rPr>
          <w:rFonts w:ascii="Times New Roman" w:hAnsi="Times New Roman" w:cs="Times New Roman"/>
          <w:sz w:val="24"/>
          <w:szCs w:val="24"/>
        </w:rPr>
        <w:t>,</w:t>
      </w:r>
      <w:r w:rsidRPr="00AC6069">
        <w:rPr>
          <w:rFonts w:ascii="Times New Roman" w:hAnsi="Times New Roman" w:cs="Times New Roman"/>
          <w:sz w:val="24"/>
          <w:szCs w:val="24"/>
        </w:rPr>
        <w:t xml:space="preserve"> result in gains in eco</w:t>
      </w:r>
      <w:r>
        <w:rPr>
          <w:rFonts w:ascii="Times New Roman" w:hAnsi="Times New Roman" w:cs="Times New Roman"/>
          <w:sz w:val="24"/>
          <w:szCs w:val="24"/>
        </w:rPr>
        <w:t>nomic mobility, particularly for minority communities.</w:t>
      </w:r>
    </w:p>
    <w:p w:rsidR="003A18FF" w:rsidRPr="00AC6069" w:rsidRDefault="003A18FF" w:rsidP="003A18FF">
      <w:pPr>
        <w:pStyle w:val="ListParagraph"/>
        <w:spacing w:after="0" w:line="360" w:lineRule="auto"/>
        <w:ind w:left="0" w:firstLine="720"/>
        <w:jc w:val="both"/>
        <w:rPr>
          <w:rFonts w:ascii="Times New Roman" w:hAnsi="Times New Roman" w:cs="Times New Roman"/>
          <w:sz w:val="24"/>
          <w:szCs w:val="24"/>
        </w:rPr>
      </w:pPr>
    </w:p>
    <w:p w:rsidR="003A18FF" w:rsidRPr="00507707" w:rsidRDefault="003A18FF" w:rsidP="003A18FF">
      <w:pPr>
        <w:jc w:val="both"/>
        <w:rPr>
          <w:rFonts w:ascii="Times New Roman" w:hAnsi="Times New Roman" w:cs="Times New Roman"/>
          <w:sz w:val="24"/>
          <w:szCs w:val="24"/>
        </w:rPr>
      </w:pPr>
      <w:r>
        <w:rPr>
          <w:rFonts w:ascii="Times New Roman" w:hAnsi="Times New Roman" w:cs="Times New Roman"/>
          <w:sz w:val="24"/>
          <w:szCs w:val="24"/>
        </w:rPr>
        <w:t xml:space="preserve">III.B. Labor Market Challenges </w:t>
      </w:r>
    </w:p>
    <w:p w:rsidR="003A18FF" w:rsidRDefault="003A18FF" w:rsidP="003A18F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Black unemployment rates have been </w:t>
      </w:r>
      <w:proofErr w:type="gramStart"/>
      <w:r>
        <w:rPr>
          <w:rFonts w:ascii="Times New Roman" w:hAnsi="Times New Roman" w:cs="Times New Roman"/>
          <w:sz w:val="24"/>
          <w:szCs w:val="24"/>
        </w:rPr>
        <w:t>double</w:t>
      </w:r>
      <w:proofErr w:type="gramEnd"/>
      <w:r>
        <w:rPr>
          <w:rFonts w:ascii="Times New Roman" w:hAnsi="Times New Roman" w:cs="Times New Roman"/>
          <w:sz w:val="24"/>
          <w:szCs w:val="24"/>
        </w:rPr>
        <w:t xml:space="preserve"> that of whites consistently over the last fifty years, as per data compiled by Pew.</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These unemployment rates have translated to high rates of poverty for African-Americans. </w:t>
      </w:r>
      <w:r w:rsidRPr="00DC51ED">
        <w:rPr>
          <w:rFonts w:ascii="Times New Roman" w:eastAsia="Times New Roman" w:hAnsi="Times New Roman" w:cs="Times New Roman"/>
          <w:sz w:val="24"/>
          <w:szCs w:val="24"/>
        </w:rPr>
        <w:t>Among racial and ethn</w:t>
      </w:r>
      <w:r w:rsidR="00747AEF">
        <w:rPr>
          <w:rFonts w:ascii="Times New Roman" w:eastAsia="Times New Roman" w:hAnsi="Times New Roman" w:cs="Times New Roman"/>
          <w:sz w:val="24"/>
          <w:szCs w:val="24"/>
        </w:rPr>
        <w:t>ic groups, African Americans have the highest poverty rate at</w:t>
      </w:r>
      <w:r w:rsidRPr="00DC51ED">
        <w:rPr>
          <w:rFonts w:ascii="Times New Roman" w:eastAsia="Times New Roman" w:hAnsi="Times New Roman" w:cs="Times New Roman"/>
          <w:sz w:val="24"/>
          <w:szCs w:val="24"/>
        </w:rPr>
        <w:t xml:space="preserve"> 27.4 percent, followed by Hispanics at 26.6 percent and whites at 9.9 percent. 45.8 percent of young black childre</w:t>
      </w:r>
      <w:r w:rsidR="00747AEF">
        <w:rPr>
          <w:rFonts w:ascii="Times New Roman" w:eastAsia="Times New Roman" w:hAnsi="Times New Roman" w:cs="Times New Roman"/>
          <w:sz w:val="24"/>
          <w:szCs w:val="24"/>
        </w:rPr>
        <w:t xml:space="preserve">n (under age 6) live in poverty compared to </w:t>
      </w:r>
      <w:r w:rsidRPr="00DC51ED">
        <w:rPr>
          <w:rFonts w:ascii="Times New Roman" w:eastAsia="Times New Roman" w:hAnsi="Times New Roman" w:cs="Times New Roman"/>
          <w:sz w:val="24"/>
          <w:szCs w:val="24"/>
        </w:rPr>
        <w:t>14.5 percent of white children.</w:t>
      </w:r>
      <w:r>
        <w:rPr>
          <w:rStyle w:val="FootnoteReference"/>
          <w:rFonts w:ascii="Times New Roman" w:eastAsia="Times New Roman" w:hAnsi="Times New Roman" w:cs="Times New Roman"/>
          <w:sz w:val="24"/>
          <w:szCs w:val="24"/>
        </w:rPr>
        <w:footnoteReference w:id="24"/>
      </w:r>
    </w:p>
    <w:p w:rsidR="003A18FF" w:rsidRDefault="003A18FF" w:rsidP="003A18F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host of studies suggest that </w:t>
      </w:r>
      <w:r w:rsidR="00C55F3E">
        <w:rPr>
          <w:rFonts w:ascii="Times New Roman" w:hAnsi="Times New Roman" w:cs="Times New Roman"/>
          <w:sz w:val="24"/>
          <w:szCs w:val="24"/>
        </w:rPr>
        <w:t>spatial mismatch is a big reason for lower employment among African-Americans</w:t>
      </w:r>
      <w:r>
        <w:rPr>
          <w:rFonts w:ascii="Times New Roman" w:hAnsi="Times New Roman" w:cs="Times New Roman"/>
          <w:sz w:val="24"/>
          <w:szCs w:val="24"/>
        </w:rPr>
        <w:t xml:space="preserve">. </w:t>
      </w:r>
      <w:r w:rsidR="00C55F3E">
        <w:rPr>
          <w:rFonts w:ascii="Times New Roman" w:hAnsi="Times New Roman" w:cs="Times New Roman"/>
          <w:sz w:val="24"/>
          <w:szCs w:val="24"/>
        </w:rPr>
        <w:t>T</w:t>
      </w:r>
      <w:r>
        <w:rPr>
          <w:rFonts w:ascii="Times New Roman" w:hAnsi="Times New Roman" w:cs="Times New Roman"/>
          <w:sz w:val="24"/>
          <w:szCs w:val="24"/>
        </w:rPr>
        <w:t>he idea</w:t>
      </w:r>
      <w:r w:rsidR="00C55F3E">
        <w:rPr>
          <w:rFonts w:ascii="Times New Roman" w:hAnsi="Times New Roman" w:cs="Times New Roman"/>
          <w:sz w:val="24"/>
          <w:szCs w:val="24"/>
        </w:rPr>
        <w:t xml:space="preserve"> of spatial mismatch is that blacks often live in areas where there is a scarcity of jobs</w:t>
      </w:r>
      <w:r>
        <w:rPr>
          <w:rFonts w:ascii="Times New Roman" w:hAnsi="Times New Roman" w:cs="Times New Roman"/>
          <w:sz w:val="24"/>
          <w:szCs w:val="24"/>
        </w:rPr>
        <w:t>. This would suggest that im</w:t>
      </w:r>
      <w:r w:rsidR="00696B93">
        <w:rPr>
          <w:rFonts w:ascii="Times New Roman" w:hAnsi="Times New Roman" w:cs="Times New Roman"/>
          <w:sz w:val="24"/>
          <w:szCs w:val="24"/>
        </w:rPr>
        <w:t>proving transportation options c</w:t>
      </w:r>
      <w:r>
        <w:rPr>
          <w:rFonts w:ascii="Times New Roman" w:hAnsi="Times New Roman" w:cs="Times New Roman"/>
          <w:sz w:val="24"/>
          <w:szCs w:val="24"/>
        </w:rPr>
        <w:t xml:space="preserve">ould ease access to jobs for </w:t>
      </w:r>
      <w:r w:rsidR="00696B93">
        <w:rPr>
          <w:rFonts w:ascii="Times New Roman" w:hAnsi="Times New Roman" w:cs="Times New Roman"/>
          <w:sz w:val="24"/>
          <w:szCs w:val="24"/>
        </w:rPr>
        <w:t>blacks in</w:t>
      </w:r>
      <w:r>
        <w:rPr>
          <w:rFonts w:ascii="Times New Roman" w:hAnsi="Times New Roman" w:cs="Times New Roman"/>
          <w:sz w:val="24"/>
          <w:szCs w:val="24"/>
        </w:rPr>
        <w:t xml:space="preserve"> areas</w:t>
      </w:r>
      <w:r w:rsidR="00696B93">
        <w:rPr>
          <w:rFonts w:ascii="Times New Roman" w:hAnsi="Times New Roman" w:cs="Times New Roman"/>
          <w:sz w:val="24"/>
          <w:szCs w:val="24"/>
        </w:rPr>
        <w:t xml:space="preserve"> with more job opportunities such as the suburbs. </w:t>
      </w:r>
      <w:r>
        <w:rPr>
          <w:rFonts w:ascii="Times New Roman" w:hAnsi="Times New Roman" w:cs="Times New Roman"/>
          <w:sz w:val="24"/>
          <w:szCs w:val="24"/>
        </w:rPr>
        <w:t xml:space="preserve">In a </w:t>
      </w:r>
      <w:r w:rsidR="00B55AA5">
        <w:rPr>
          <w:rFonts w:ascii="Times New Roman" w:hAnsi="Times New Roman" w:cs="Times New Roman"/>
          <w:sz w:val="24"/>
          <w:szCs w:val="24"/>
        </w:rPr>
        <w:t xml:space="preserve">2007 paper, </w:t>
      </w:r>
      <w:proofErr w:type="spellStart"/>
      <w:r w:rsidR="00B55AA5">
        <w:rPr>
          <w:rFonts w:ascii="Times New Roman" w:hAnsi="Times New Roman" w:cs="Times New Roman"/>
          <w:sz w:val="24"/>
          <w:szCs w:val="24"/>
        </w:rPr>
        <w:t>Hellerstein</w:t>
      </w:r>
      <w:proofErr w:type="spellEnd"/>
      <w:r w:rsidR="00B55AA5">
        <w:rPr>
          <w:rFonts w:ascii="Times New Roman" w:hAnsi="Times New Roman" w:cs="Times New Roman"/>
          <w:sz w:val="24"/>
          <w:szCs w:val="24"/>
        </w:rPr>
        <w:t xml:space="preserve"> et al. </w:t>
      </w:r>
      <w:r>
        <w:rPr>
          <w:rFonts w:ascii="Times New Roman" w:hAnsi="Times New Roman" w:cs="Times New Roman"/>
          <w:sz w:val="24"/>
          <w:szCs w:val="24"/>
        </w:rPr>
        <w:t xml:space="preserve">argue that spatial mismatch </w:t>
      </w:r>
      <w:r w:rsidR="00F17384">
        <w:rPr>
          <w:rFonts w:ascii="Times New Roman" w:hAnsi="Times New Roman" w:cs="Times New Roman"/>
          <w:sz w:val="24"/>
          <w:szCs w:val="24"/>
        </w:rPr>
        <w:t>accounts for no more than a small role in lower black employment</w:t>
      </w:r>
      <w:r>
        <w:rPr>
          <w:rFonts w:ascii="Times New Roman" w:hAnsi="Times New Roman" w:cs="Times New Roman"/>
          <w:sz w:val="24"/>
          <w:szCs w:val="24"/>
        </w:rPr>
        <w:t>.</w:t>
      </w:r>
      <w:r w:rsidR="00D13C9B">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F17384">
        <w:rPr>
          <w:rFonts w:ascii="Times New Roman" w:hAnsi="Times New Roman" w:cs="Times New Roman"/>
          <w:sz w:val="24"/>
          <w:szCs w:val="24"/>
        </w:rPr>
        <w:t>Instead, t</w:t>
      </w:r>
      <w:r>
        <w:rPr>
          <w:rFonts w:ascii="Times New Roman" w:hAnsi="Times New Roman" w:cs="Times New Roman"/>
          <w:sz w:val="24"/>
          <w:szCs w:val="24"/>
        </w:rPr>
        <w:t xml:space="preserve">hey find that even if </w:t>
      </w:r>
      <w:r w:rsidR="00F17384">
        <w:rPr>
          <w:rFonts w:ascii="Times New Roman" w:hAnsi="Times New Roman" w:cs="Times New Roman"/>
          <w:sz w:val="24"/>
          <w:szCs w:val="24"/>
        </w:rPr>
        <w:t>b</w:t>
      </w:r>
      <w:r>
        <w:rPr>
          <w:rFonts w:ascii="Times New Roman" w:hAnsi="Times New Roman" w:cs="Times New Roman"/>
          <w:sz w:val="24"/>
          <w:szCs w:val="24"/>
        </w:rPr>
        <w:t>lacks r</w:t>
      </w:r>
      <w:r w:rsidR="008D5850">
        <w:rPr>
          <w:rFonts w:ascii="Times New Roman" w:hAnsi="Times New Roman" w:cs="Times New Roman"/>
          <w:sz w:val="24"/>
          <w:szCs w:val="24"/>
        </w:rPr>
        <w:t>eside in areas that are dense with</w:t>
      </w:r>
      <w:r>
        <w:rPr>
          <w:rFonts w:ascii="Times New Roman" w:hAnsi="Times New Roman" w:cs="Times New Roman"/>
          <w:sz w:val="24"/>
          <w:szCs w:val="24"/>
        </w:rPr>
        <w:t xml:space="preserve"> jobs </w:t>
      </w:r>
      <w:r>
        <w:rPr>
          <w:rFonts w:ascii="Times New Roman" w:hAnsi="Times New Roman" w:cs="Times New Roman"/>
          <w:sz w:val="24"/>
          <w:szCs w:val="24"/>
        </w:rPr>
        <w:lastRenderedPageBreak/>
        <w:t xml:space="preserve">at their skill level, these jobs are more likely to be held by </w:t>
      </w:r>
      <w:r w:rsidR="00F17384">
        <w:rPr>
          <w:rFonts w:ascii="Times New Roman" w:hAnsi="Times New Roman" w:cs="Times New Roman"/>
          <w:sz w:val="24"/>
          <w:szCs w:val="24"/>
        </w:rPr>
        <w:t>w</w:t>
      </w:r>
      <w:r>
        <w:rPr>
          <w:rFonts w:ascii="Times New Roman" w:hAnsi="Times New Roman" w:cs="Times New Roman"/>
          <w:sz w:val="24"/>
          <w:szCs w:val="24"/>
        </w:rPr>
        <w:t xml:space="preserve">hites, </w:t>
      </w:r>
      <w:r w:rsidR="00F17384">
        <w:rPr>
          <w:rFonts w:ascii="Times New Roman" w:hAnsi="Times New Roman" w:cs="Times New Roman"/>
          <w:sz w:val="24"/>
          <w:szCs w:val="24"/>
        </w:rPr>
        <w:t xml:space="preserve">a </w:t>
      </w:r>
      <w:r w:rsidR="008D5850">
        <w:rPr>
          <w:rFonts w:ascii="Times New Roman" w:hAnsi="Times New Roman" w:cs="Times New Roman"/>
          <w:sz w:val="24"/>
          <w:szCs w:val="24"/>
        </w:rPr>
        <w:t>phenomenon</w:t>
      </w:r>
      <w:r w:rsidR="00F17384">
        <w:rPr>
          <w:rFonts w:ascii="Times New Roman" w:hAnsi="Times New Roman" w:cs="Times New Roman"/>
          <w:sz w:val="24"/>
          <w:szCs w:val="24"/>
        </w:rPr>
        <w:t xml:space="preserve"> they call “racial mismatch</w:t>
      </w:r>
      <w:r>
        <w:rPr>
          <w:rFonts w:ascii="Times New Roman" w:hAnsi="Times New Roman" w:cs="Times New Roman"/>
          <w:sz w:val="24"/>
          <w:szCs w:val="24"/>
        </w:rPr>
        <w:t>.</w:t>
      </w:r>
      <w:r w:rsidR="00F17384">
        <w:rPr>
          <w:rFonts w:ascii="Times New Roman" w:hAnsi="Times New Roman" w:cs="Times New Roman"/>
          <w:sz w:val="24"/>
          <w:szCs w:val="24"/>
        </w:rPr>
        <w:t>”</w:t>
      </w:r>
    </w:p>
    <w:p w:rsidR="003A18FF" w:rsidRDefault="003A18FF" w:rsidP="003A18FF">
      <w:pPr>
        <w:spacing w:after="0" w:line="360" w:lineRule="auto"/>
        <w:ind w:firstLine="360"/>
        <w:jc w:val="both"/>
        <w:rPr>
          <w:rFonts w:ascii="Times New Roman" w:hAnsi="Times New Roman" w:cs="Times New Roman"/>
          <w:sz w:val="24"/>
          <w:szCs w:val="24"/>
        </w:rPr>
      </w:pPr>
      <w:r w:rsidRPr="00E877D5">
        <w:rPr>
          <w:rFonts w:ascii="Times New Roman" w:hAnsi="Times New Roman" w:cs="Times New Roman"/>
          <w:sz w:val="24"/>
          <w:szCs w:val="24"/>
        </w:rPr>
        <w:t>A host of active labor market policies are needed to get the</w:t>
      </w:r>
      <w:r>
        <w:rPr>
          <w:rFonts w:ascii="Times New Roman" w:hAnsi="Times New Roman" w:cs="Times New Roman"/>
          <w:sz w:val="24"/>
          <w:szCs w:val="24"/>
        </w:rPr>
        <w:t>se</w:t>
      </w:r>
      <w:r w:rsidRPr="00E877D5">
        <w:rPr>
          <w:rFonts w:ascii="Times New Roman" w:hAnsi="Times New Roman" w:cs="Times New Roman"/>
          <w:sz w:val="24"/>
          <w:szCs w:val="24"/>
        </w:rPr>
        <w:t xml:space="preserve"> unemployed back to work. </w:t>
      </w:r>
      <w:r w:rsidR="00F20ECB">
        <w:rPr>
          <w:rFonts w:ascii="Times New Roman" w:hAnsi="Times New Roman" w:cs="Times New Roman"/>
          <w:sz w:val="24"/>
          <w:szCs w:val="24"/>
        </w:rPr>
        <w:t xml:space="preserve">Policy options include </w:t>
      </w:r>
      <w:r w:rsidRPr="00E877D5">
        <w:rPr>
          <w:rFonts w:ascii="Times New Roman" w:hAnsi="Times New Roman" w:cs="Times New Roman"/>
          <w:sz w:val="24"/>
          <w:szCs w:val="24"/>
        </w:rPr>
        <w:t>the use of wage subsidy programs, work-sharing arrangements,</w:t>
      </w:r>
      <w:r>
        <w:rPr>
          <w:rFonts w:ascii="Times New Roman" w:hAnsi="Times New Roman" w:cs="Times New Roman"/>
          <w:sz w:val="24"/>
          <w:szCs w:val="24"/>
        </w:rPr>
        <w:t xml:space="preserve"> job placem</w:t>
      </w:r>
      <w:r w:rsidR="00F20ECB">
        <w:rPr>
          <w:rFonts w:ascii="Times New Roman" w:hAnsi="Times New Roman" w:cs="Times New Roman"/>
          <w:sz w:val="24"/>
          <w:szCs w:val="24"/>
        </w:rPr>
        <w:t xml:space="preserve">ent services, </w:t>
      </w:r>
      <w:r w:rsidRPr="00E877D5">
        <w:rPr>
          <w:rFonts w:ascii="Times New Roman" w:hAnsi="Times New Roman" w:cs="Times New Roman"/>
          <w:sz w:val="24"/>
          <w:szCs w:val="24"/>
        </w:rPr>
        <w:t>an expansion of the EITC</w:t>
      </w:r>
      <w:r w:rsidR="00F20ECB">
        <w:rPr>
          <w:rFonts w:ascii="Times New Roman" w:hAnsi="Times New Roman" w:cs="Times New Roman"/>
          <w:sz w:val="24"/>
          <w:szCs w:val="24"/>
        </w:rPr>
        <w:t xml:space="preserve">, and </w:t>
      </w:r>
      <w:r w:rsidR="00F20ECB" w:rsidRPr="00E877D5">
        <w:rPr>
          <w:rFonts w:ascii="Times New Roman" w:hAnsi="Times New Roman" w:cs="Times New Roman"/>
          <w:sz w:val="24"/>
          <w:szCs w:val="24"/>
        </w:rPr>
        <w:t xml:space="preserve">apprenticeship programs and training opportunities </w:t>
      </w:r>
      <w:r w:rsidR="00F20ECB">
        <w:rPr>
          <w:rFonts w:ascii="Times New Roman" w:hAnsi="Times New Roman" w:cs="Times New Roman"/>
          <w:sz w:val="24"/>
          <w:szCs w:val="24"/>
        </w:rPr>
        <w:t>for teenagers and youth.</w:t>
      </w:r>
      <w:r w:rsidR="00F20ECB" w:rsidRPr="00F20ECB">
        <w:rPr>
          <w:rStyle w:val="FootnoteReference"/>
          <w:rFonts w:ascii="Times New Roman" w:hAnsi="Times New Roman" w:cs="Times New Roman"/>
          <w:sz w:val="24"/>
          <w:szCs w:val="24"/>
        </w:rPr>
        <w:t xml:space="preserve"> </w:t>
      </w:r>
      <w:r w:rsidR="00F20ECB" w:rsidRPr="00AC6069">
        <w:rPr>
          <w:rStyle w:val="FootnoteReference"/>
          <w:rFonts w:ascii="Times New Roman" w:hAnsi="Times New Roman" w:cs="Times New Roman"/>
          <w:sz w:val="24"/>
          <w:szCs w:val="24"/>
        </w:rPr>
        <w:footnoteReference w:id="26"/>
      </w:r>
      <w:r w:rsidR="00F20ECB">
        <w:rPr>
          <w:rFonts w:ascii="Times New Roman" w:hAnsi="Times New Roman" w:cs="Times New Roman"/>
          <w:sz w:val="24"/>
          <w:szCs w:val="24"/>
        </w:rPr>
        <w:t xml:space="preserve"> These policies can help match the long-term unemployed with good, productive jobs and help transition recent high school and college graduates into the workforce</w:t>
      </w:r>
      <w:r w:rsidRPr="00E877D5">
        <w:rPr>
          <w:rFonts w:ascii="Times New Roman" w:hAnsi="Times New Roman" w:cs="Times New Roman"/>
          <w:sz w:val="24"/>
          <w:szCs w:val="24"/>
        </w:rPr>
        <w:t xml:space="preserve">. </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labor market indicator that is strongly correlated with upward mobility is the teenage labor force participation rate. This could be because formal jobs </w:t>
      </w:r>
      <w:r w:rsidR="00D4799F">
        <w:rPr>
          <w:rFonts w:ascii="Times New Roman" w:hAnsi="Times New Roman" w:cs="Times New Roman"/>
          <w:sz w:val="24"/>
          <w:szCs w:val="24"/>
        </w:rPr>
        <w:t>directly benefit</w:t>
      </w:r>
      <w:r>
        <w:rPr>
          <w:rFonts w:ascii="Times New Roman" w:hAnsi="Times New Roman" w:cs="Times New Roman"/>
          <w:sz w:val="24"/>
          <w:szCs w:val="24"/>
        </w:rPr>
        <w:t xml:space="preserve"> disadvantaged teenagers or because areas with good schools and other characteristics tend to have more teenagers working in the form</w:t>
      </w:r>
      <w:r w:rsidR="00D4799F">
        <w:rPr>
          <w:rFonts w:ascii="Times New Roman" w:hAnsi="Times New Roman" w:cs="Times New Roman"/>
          <w:sz w:val="24"/>
          <w:szCs w:val="24"/>
        </w:rPr>
        <w:t>al sector. About 33 percent of b</w:t>
      </w:r>
      <w:r>
        <w:rPr>
          <w:rFonts w:ascii="Times New Roman" w:hAnsi="Times New Roman" w:cs="Times New Roman"/>
          <w:sz w:val="24"/>
          <w:szCs w:val="24"/>
        </w:rPr>
        <w:t xml:space="preserve">lack teenagers and 25 percent of </w:t>
      </w:r>
      <w:r w:rsidR="00D4799F">
        <w:rPr>
          <w:rFonts w:ascii="Times New Roman" w:hAnsi="Times New Roman" w:cs="Times New Roman"/>
          <w:sz w:val="24"/>
          <w:szCs w:val="24"/>
        </w:rPr>
        <w:t>b</w:t>
      </w:r>
      <w:r>
        <w:rPr>
          <w:rFonts w:ascii="Times New Roman" w:hAnsi="Times New Roman" w:cs="Times New Roman"/>
          <w:sz w:val="24"/>
          <w:szCs w:val="24"/>
        </w:rPr>
        <w:t>lack youths between the ages of 16 and 24 are unemployed.</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Since teenage and youth unemployment is highly likely to lead to lower incomes and fewer life opportunities, this is an urgent issue that needs to be addressed. Apprenticeship and training programs for youth have been shown to be effective at easing transitions of teenagers and disadvantaged youth to jobs. An example is the National Job Corps Study.</w:t>
      </w:r>
      <w:r w:rsidRPr="00E877D5">
        <w:rPr>
          <w:rFonts w:ascii="Times New Roman" w:hAnsi="Times New Roman" w:cs="Times New Roman"/>
          <w:sz w:val="24"/>
          <w:szCs w:val="24"/>
        </w:rPr>
        <w:t xml:space="preserve"> The Job Corps program was designed to provide employment and training to disadvantaged youth and young adults. An overview of the program in </w:t>
      </w:r>
      <w:proofErr w:type="spellStart"/>
      <w:r w:rsidRPr="00E877D5">
        <w:rPr>
          <w:rFonts w:ascii="Times New Roman" w:hAnsi="Times New Roman" w:cs="Times New Roman"/>
          <w:sz w:val="24"/>
          <w:szCs w:val="24"/>
        </w:rPr>
        <w:t>Lalonde</w:t>
      </w:r>
      <w:proofErr w:type="spellEnd"/>
      <w:r w:rsidRPr="00E877D5">
        <w:rPr>
          <w:rFonts w:ascii="Times New Roman" w:hAnsi="Times New Roman" w:cs="Times New Roman"/>
          <w:sz w:val="24"/>
          <w:szCs w:val="24"/>
        </w:rPr>
        <w:t xml:space="preserve"> (2003) suggests that the program generated </w:t>
      </w:r>
      <w:r>
        <w:rPr>
          <w:rFonts w:ascii="Times New Roman" w:hAnsi="Times New Roman" w:cs="Times New Roman"/>
          <w:sz w:val="24"/>
          <w:szCs w:val="24"/>
        </w:rPr>
        <w:t xml:space="preserve">modest </w:t>
      </w:r>
      <w:r w:rsidRPr="00E877D5">
        <w:rPr>
          <w:rFonts w:ascii="Times New Roman" w:hAnsi="Times New Roman" w:cs="Times New Roman"/>
          <w:sz w:val="24"/>
          <w:szCs w:val="24"/>
        </w:rPr>
        <w:t>benefits</w:t>
      </w:r>
      <w:r w:rsidR="00D5671C">
        <w:rPr>
          <w:rFonts w:ascii="Times New Roman" w:hAnsi="Times New Roman" w:cs="Times New Roman"/>
          <w:sz w:val="24"/>
          <w:szCs w:val="24"/>
        </w:rPr>
        <w:t xml:space="preserve"> though in the long-run the costs of the program tended to outweigh the benefits</w:t>
      </w:r>
      <w:r w:rsidRPr="00E877D5">
        <w:rPr>
          <w:rFonts w:ascii="Times New Roman" w:hAnsi="Times New Roman" w:cs="Times New Roman"/>
          <w:sz w:val="24"/>
          <w:szCs w:val="24"/>
        </w:rPr>
        <w:t>.</w:t>
      </w:r>
      <w:r w:rsidR="00A24006" w:rsidRPr="00A24006">
        <w:rPr>
          <w:rStyle w:val="FootnoteReference"/>
          <w:rFonts w:ascii="Times New Roman" w:hAnsi="Times New Roman" w:cs="Times New Roman"/>
          <w:sz w:val="24"/>
          <w:szCs w:val="24"/>
        </w:rPr>
        <w:t xml:space="preserve"> </w:t>
      </w:r>
      <w:r w:rsidR="00A24006" w:rsidRPr="00E877D5">
        <w:rPr>
          <w:rStyle w:val="FootnoteReference"/>
          <w:rFonts w:ascii="Times New Roman" w:hAnsi="Times New Roman" w:cs="Times New Roman"/>
          <w:sz w:val="24"/>
          <w:szCs w:val="24"/>
        </w:rPr>
        <w:footnoteReference w:id="28"/>
      </w:r>
      <w:r w:rsidRPr="00E877D5">
        <w:rPr>
          <w:rFonts w:ascii="Times New Roman" w:hAnsi="Times New Roman" w:cs="Times New Roman"/>
          <w:sz w:val="24"/>
          <w:szCs w:val="24"/>
        </w:rPr>
        <w:t xml:space="preserve"> </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more market based approach would be to allow employers to develop customized job-training programs based on their needs. Such programs </w:t>
      </w:r>
      <w:r w:rsidR="00A0580A">
        <w:rPr>
          <w:rFonts w:ascii="Times New Roman" w:hAnsi="Times New Roman" w:cs="Times New Roman"/>
          <w:sz w:val="24"/>
          <w:szCs w:val="24"/>
        </w:rPr>
        <w:t>could be financed through state-based grants. A current</w:t>
      </w:r>
      <w:r>
        <w:rPr>
          <w:rFonts w:ascii="Times New Roman" w:hAnsi="Times New Roman" w:cs="Times New Roman"/>
          <w:sz w:val="24"/>
          <w:szCs w:val="24"/>
        </w:rPr>
        <w:t xml:space="preserve"> experiment along these lines is the Wisconsin Fast Forward Initiative. The program allows employers to apply for grants for worker training, </w:t>
      </w:r>
      <w:r w:rsidR="00A0580A">
        <w:rPr>
          <w:rFonts w:ascii="Times New Roman" w:hAnsi="Times New Roman" w:cs="Times New Roman"/>
          <w:sz w:val="24"/>
          <w:szCs w:val="24"/>
        </w:rPr>
        <w:t>provided</w:t>
      </w:r>
      <w:r>
        <w:rPr>
          <w:rFonts w:ascii="Times New Roman" w:hAnsi="Times New Roman" w:cs="Times New Roman"/>
          <w:sz w:val="24"/>
          <w:szCs w:val="24"/>
        </w:rPr>
        <w:t xml:space="preserve"> the employers hire the workers </w:t>
      </w:r>
      <w:r w:rsidR="00A0580A">
        <w:rPr>
          <w:rFonts w:ascii="Times New Roman" w:hAnsi="Times New Roman" w:cs="Times New Roman"/>
          <w:sz w:val="24"/>
          <w:szCs w:val="24"/>
        </w:rPr>
        <w:t>after they are</w:t>
      </w:r>
      <w:r>
        <w:rPr>
          <w:rFonts w:ascii="Times New Roman" w:hAnsi="Times New Roman" w:cs="Times New Roman"/>
          <w:sz w:val="24"/>
          <w:szCs w:val="24"/>
        </w:rPr>
        <w:t xml:space="preserve"> trained. This enables employers to hire workers and provide them with the skills they need to be productive on the job. Such programs can be targeted more speci</w:t>
      </w:r>
      <w:r w:rsidR="00A0580A">
        <w:rPr>
          <w:rFonts w:ascii="Times New Roman" w:hAnsi="Times New Roman" w:cs="Times New Roman"/>
          <w:sz w:val="24"/>
          <w:szCs w:val="24"/>
        </w:rPr>
        <w:t>fically at disadvantaged group</w:t>
      </w:r>
      <w:r w:rsidR="000022B9">
        <w:rPr>
          <w:rFonts w:ascii="Times New Roman" w:hAnsi="Times New Roman" w:cs="Times New Roman"/>
          <w:sz w:val="24"/>
          <w:szCs w:val="24"/>
        </w:rPr>
        <w:t>s such as African-American</w:t>
      </w:r>
      <w:r w:rsidR="001912DB">
        <w:rPr>
          <w:rFonts w:ascii="Times New Roman" w:hAnsi="Times New Roman" w:cs="Times New Roman"/>
          <w:sz w:val="24"/>
          <w:szCs w:val="24"/>
        </w:rPr>
        <w:t>s</w:t>
      </w:r>
      <w:r w:rsidR="00A0580A">
        <w:rPr>
          <w:rFonts w:ascii="Times New Roman" w:hAnsi="Times New Roman" w:cs="Times New Roman"/>
          <w:sz w:val="24"/>
          <w:szCs w:val="24"/>
        </w:rPr>
        <w:t>.</w:t>
      </w:r>
    </w:p>
    <w:p w:rsidR="003A18FF" w:rsidRDefault="003A18FF" w:rsidP="003A18FF">
      <w:pPr>
        <w:autoSpaceDE w:val="0"/>
        <w:autoSpaceDN w:val="0"/>
        <w:adjustRightInd w:val="0"/>
        <w:spacing w:after="0" w:line="360" w:lineRule="auto"/>
        <w:ind w:firstLine="720"/>
        <w:jc w:val="both"/>
        <w:rPr>
          <w:rFonts w:ascii="Times New Roman" w:hAnsi="Times New Roman" w:cs="Times New Roman"/>
          <w:sz w:val="24"/>
          <w:szCs w:val="24"/>
        </w:rPr>
      </w:pPr>
      <w:r w:rsidRPr="00E877D5">
        <w:rPr>
          <w:rFonts w:ascii="Times New Roman" w:hAnsi="Times New Roman" w:cs="Times New Roman"/>
          <w:sz w:val="24"/>
          <w:szCs w:val="24"/>
        </w:rPr>
        <w:lastRenderedPageBreak/>
        <w:t>Certain federal and state government programs such as the Earned Income Tax Credit have been shown to have positive influence</w:t>
      </w:r>
      <w:r w:rsidR="008A001F">
        <w:rPr>
          <w:rFonts w:ascii="Times New Roman" w:hAnsi="Times New Roman" w:cs="Times New Roman"/>
          <w:sz w:val="24"/>
          <w:szCs w:val="24"/>
        </w:rPr>
        <w:t>s</w:t>
      </w:r>
      <w:r w:rsidRPr="00E877D5">
        <w:rPr>
          <w:rFonts w:ascii="Times New Roman" w:hAnsi="Times New Roman" w:cs="Times New Roman"/>
          <w:sz w:val="24"/>
          <w:szCs w:val="24"/>
        </w:rPr>
        <w:t xml:space="preserve"> on economic mobility. </w:t>
      </w:r>
      <w:r w:rsidRPr="007A5A1A">
        <w:rPr>
          <w:rFonts w:ascii="Times New Roman" w:hAnsi="Times New Roman" w:cs="Times New Roman"/>
          <w:sz w:val="24"/>
          <w:szCs w:val="24"/>
        </w:rPr>
        <w:t xml:space="preserve">This is not surprising since economists have consistently estimated </w:t>
      </w:r>
      <w:r w:rsidR="001F7482">
        <w:rPr>
          <w:rFonts w:ascii="Times New Roman" w:hAnsi="Times New Roman" w:cs="Times New Roman"/>
          <w:sz w:val="24"/>
          <w:szCs w:val="24"/>
        </w:rPr>
        <w:t xml:space="preserve">that the EITC has </w:t>
      </w:r>
      <w:r w:rsidRPr="007A5A1A">
        <w:rPr>
          <w:rFonts w:ascii="Times New Roman" w:hAnsi="Times New Roman" w:cs="Times New Roman"/>
          <w:sz w:val="24"/>
          <w:szCs w:val="24"/>
        </w:rPr>
        <w:t>a positive effect on the employment of single mothers</w:t>
      </w:r>
      <w:r w:rsidR="008A001F">
        <w:rPr>
          <w:rFonts w:ascii="Times New Roman" w:hAnsi="Times New Roman" w:cs="Times New Roman"/>
          <w:sz w:val="24"/>
          <w:szCs w:val="24"/>
        </w:rPr>
        <w:t xml:space="preserve"> and</w:t>
      </w:r>
      <w:r>
        <w:rPr>
          <w:rFonts w:ascii="Times New Roman" w:hAnsi="Times New Roman" w:cs="Times New Roman"/>
          <w:sz w:val="24"/>
          <w:szCs w:val="24"/>
        </w:rPr>
        <w:t xml:space="preserve"> economically disadvantaged populations</w:t>
      </w:r>
      <w:r w:rsidRPr="007A5A1A">
        <w:rPr>
          <w:rFonts w:ascii="Times New Roman" w:hAnsi="Times New Roman" w:cs="Times New Roman"/>
          <w:sz w:val="24"/>
          <w:szCs w:val="24"/>
        </w:rPr>
        <w:t>.</w:t>
      </w:r>
      <w:r w:rsidRPr="00AC6069">
        <w:rPr>
          <w:rStyle w:val="FootnoteReference"/>
          <w:rFonts w:ascii="Times New Roman" w:hAnsi="Times New Roman" w:cs="Times New Roman"/>
          <w:sz w:val="24"/>
          <w:szCs w:val="24"/>
        </w:rPr>
        <w:footnoteReference w:id="29"/>
      </w:r>
      <w:r w:rsidRPr="00AC6069">
        <w:rPr>
          <w:rFonts w:ascii="Times New Roman" w:hAnsi="Times New Roman" w:cs="Times New Roman"/>
          <w:sz w:val="24"/>
          <w:szCs w:val="24"/>
        </w:rPr>
        <w:t xml:space="preserve"> The Census Bureau estimates that the EITC lifted 5.4 million people out of poverty in 2010 alone. </w:t>
      </w:r>
      <w:r w:rsidRPr="00E877D5">
        <w:rPr>
          <w:rFonts w:ascii="Times New Roman" w:hAnsi="Times New Roman" w:cs="Times New Roman"/>
          <w:sz w:val="24"/>
          <w:szCs w:val="24"/>
        </w:rPr>
        <w:t xml:space="preserve">This also suggests that programs that incentivize work are likely to be far more successful than simple cash assistance programs in boosting incomes and mobility, primarily because people are able to earn for themselves and become productive participants in the labor market. </w:t>
      </w:r>
      <w:proofErr w:type="spellStart"/>
      <w:r w:rsidRPr="00E877D5">
        <w:rPr>
          <w:rFonts w:ascii="Times New Roman" w:hAnsi="Times New Roman" w:cs="Times New Roman"/>
          <w:sz w:val="24"/>
          <w:szCs w:val="24"/>
        </w:rPr>
        <w:t>Neumark</w:t>
      </w:r>
      <w:proofErr w:type="spellEnd"/>
      <w:r w:rsidRPr="00E877D5">
        <w:rPr>
          <w:rFonts w:ascii="Times New Roman" w:hAnsi="Times New Roman" w:cs="Times New Roman"/>
          <w:sz w:val="24"/>
          <w:szCs w:val="24"/>
        </w:rPr>
        <w:t xml:space="preserve"> and </w:t>
      </w:r>
      <w:proofErr w:type="spellStart"/>
      <w:r w:rsidRPr="00E877D5">
        <w:rPr>
          <w:rFonts w:ascii="Times New Roman" w:hAnsi="Times New Roman" w:cs="Times New Roman"/>
          <w:sz w:val="24"/>
          <w:szCs w:val="24"/>
        </w:rPr>
        <w:t>Wascher</w:t>
      </w:r>
      <w:proofErr w:type="spellEnd"/>
      <w:r w:rsidRPr="00E877D5">
        <w:rPr>
          <w:rFonts w:ascii="Times New Roman" w:hAnsi="Times New Roman" w:cs="Times New Roman"/>
          <w:sz w:val="24"/>
          <w:szCs w:val="24"/>
        </w:rPr>
        <w:t xml:space="preserve"> (2000) contend that the EITC is the most effective anti-poverty program in the U.S. compared to minimum wages or welfare.</w:t>
      </w:r>
      <w:r w:rsidR="005E14C3">
        <w:rPr>
          <w:rStyle w:val="FootnoteReference"/>
          <w:rFonts w:ascii="Times New Roman" w:hAnsi="Times New Roman" w:cs="Times New Roman"/>
          <w:sz w:val="24"/>
          <w:szCs w:val="24"/>
        </w:rPr>
        <w:footnoteReference w:id="30"/>
      </w:r>
      <w:r w:rsidRPr="00263153">
        <w:rPr>
          <w:rFonts w:ascii="Times New Roman" w:hAnsi="Times New Roman" w:cs="Times New Roman"/>
          <w:sz w:val="24"/>
          <w:szCs w:val="24"/>
        </w:rPr>
        <w:t xml:space="preserve"> </w:t>
      </w:r>
      <w:r w:rsidR="00A601DE">
        <w:rPr>
          <w:rFonts w:ascii="Times New Roman" w:hAnsi="Times New Roman" w:cs="Times New Roman"/>
          <w:sz w:val="24"/>
          <w:szCs w:val="24"/>
        </w:rPr>
        <w:t xml:space="preserve">Work by </w:t>
      </w:r>
      <w:r>
        <w:rPr>
          <w:rFonts w:ascii="Times New Roman" w:hAnsi="Times New Roman" w:cs="Times New Roman"/>
          <w:sz w:val="24"/>
          <w:szCs w:val="24"/>
        </w:rPr>
        <w:t xml:space="preserve">Dahl and </w:t>
      </w:r>
      <w:proofErr w:type="spellStart"/>
      <w:r>
        <w:rPr>
          <w:rFonts w:ascii="Times New Roman" w:hAnsi="Times New Roman" w:cs="Times New Roman"/>
          <w:sz w:val="24"/>
          <w:szCs w:val="24"/>
        </w:rPr>
        <w:t>Lochner</w:t>
      </w:r>
      <w:proofErr w:type="spellEnd"/>
      <w:r>
        <w:rPr>
          <w:rFonts w:ascii="Times New Roman" w:hAnsi="Times New Roman" w:cs="Times New Roman"/>
          <w:sz w:val="24"/>
          <w:szCs w:val="24"/>
        </w:rPr>
        <w:t xml:space="preserve"> (200</w:t>
      </w:r>
      <w:r w:rsidR="00A601DE">
        <w:rPr>
          <w:rFonts w:ascii="Times New Roman" w:hAnsi="Times New Roman" w:cs="Times New Roman"/>
          <w:sz w:val="24"/>
          <w:szCs w:val="24"/>
        </w:rPr>
        <w:t>8</w:t>
      </w:r>
      <w:r>
        <w:rPr>
          <w:rFonts w:ascii="Times New Roman" w:hAnsi="Times New Roman" w:cs="Times New Roman"/>
          <w:sz w:val="24"/>
          <w:szCs w:val="24"/>
        </w:rPr>
        <w:t xml:space="preserve">) </w:t>
      </w:r>
      <w:r w:rsidR="00A601DE">
        <w:rPr>
          <w:rFonts w:ascii="Times New Roman" w:hAnsi="Times New Roman" w:cs="Times New Roman"/>
          <w:sz w:val="24"/>
          <w:szCs w:val="24"/>
        </w:rPr>
        <w:t xml:space="preserve">and </w:t>
      </w:r>
      <w:r w:rsidR="00FD47BC">
        <w:rPr>
          <w:rFonts w:ascii="Times New Roman" w:hAnsi="Times New Roman" w:cs="Times New Roman"/>
          <w:sz w:val="24"/>
          <w:szCs w:val="24"/>
        </w:rPr>
        <w:t>Duncan, Morris</w:t>
      </w:r>
      <w:r>
        <w:rPr>
          <w:rFonts w:ascii="Times New Roman" w:hAnsi="Times New Roman" w:cs="Times New Roman"/>
          <w:sz w:val="24"/>
          <w:szCs w:val="24"/>
        </w:rPr>
        <w:t xml:space="preserve"> and Rodrigues (2004) find that EITC benefits positively influence the outcomes of children.</w:t>
      </w:r>
      <w:r>
        <w:rPr>
          <w:rStyle w:val="FootnoteReference"/>
          <w:rFonts w:ascii="Times New Roman" w:hAnsi="Times New Roman" w:cs="Times New Roman"/>
          <w:sz w:val="24"/>
          <w:szCs w:val="24"/>
        </w:rPr>
        <w:footnoteReference w:id="31"/>
      </w:r>
      <w:r w:rsidR="003B303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
      </w:r>
      <w:r w:rsidRPr="000251C0">
        <w:rPr>
          <w:rFonts w:ascii="Times New Roman" w:hAnsi="Times New Roman" w:cs="Times New Roman"/>
          <w:sz w:val="24"/>
          <w:szCs w:val="24"/>
        </w:rPr>
        <w:t xml:space="preserve"> </w:t>
      </w:r>
    </w:p>
    <w:p w:rsidR="003A18FF" w:rsidRDefault="003A18FF" w:rsidP="003A18FF">
      <w:pPr>
        <w:autoSpaceDE w:val="0"/>
        <w:autoSpaceDN w:val="0"/>
        <w:adjustRightInd w:val="0"/>
        <w:spacing w:after="0" w:line="360" w:lineRule="auto"/>
        <w:ind w:firstLine="360"/>
        <w:jc w:val="both"/>
        <w:rPr>
          <w:rFonts w:ascii="Times New Roman" w:hAnsi="Times New Roman" w:cs="Times New Roman"/>
          <w:sz w:val="24"/>
          <w:szCs w:val="24"/>
        </w:rPr>
      </w:pPr>
      <w:r w:rsidRPr="00E877D5">
        <w:rPr>
          <w:rFonts w:ascii="Times New Roman" w:hAnsi="Times New Roman" w:cs="Times New Roman"/>
          <w:sz w:val="24"/>
          <w:szCs w:val="24"/>
        </w:rPr>
        <w:t xml:space="preserve">Despite its success at encouraging work, the EITC has some significant flaws, in terms of its </w:t>
      </w:r>
      <w:r w:rsidRPr="007A5A1A">
        <w:rPr>
          <w:rFonts w:ascii="Times New Roman" w:hAnsi="Times New Roman" w:cs="Times New Roman"/>
          <w:sz w:val="24"/>
          <w:szCs w:val="24"/>
        </w:rPr>
        <w:t xml:space="preserve">design as well as its eligibility rules. The high marginal tax rates faced by individuals in the phase-out region of the EITC are a disincentive to work. </w:t>
      </w:r>
      <w:proofErr w:type="spellStart"/>
      <w:r w:rsidRPr="007A5A1A">
        <w:rPr>
          <w:rFonts w:ascii="Times New Roman" w:hAnsi="Times New Roman" w:cs="Times New Roman"/>
          <w:sz w:val="24"/>
          <w:szCs w:val="24"/>
        </w:rPr>
        <w:t>Eissa</w:t>
      </w:r>
      <w:proofErr w:type="spellEnd"/>
      <w:r w:rsidRPr="007A5A1A">
        <w:rPr>
          <w:rFonts w:ascii="Times New Roman" w:hAnsi="Times New Roman" w:cs="Times New Roman"/>
          <w:sz w:val="24"/>
          <w:szCs w:val="24"/>
        </w:rPr>
        <w:t xml:space="preserve"> an</w:t>
      </w:r>
      <w:r w:rsidR="0031492C">
        <w:rPr>
          <w:rFonts w:ascii="Times New Roman" w:hAnsi="Times New Roman" w:cs="Times New Roman"/>
          <w:sz w:val="24"/>
          <w:szCs w:val="24"/>
        </w:rPr>
        <w:t xml:space="preserve">d </w:t>
      </w:r>
      <w:proofErr w:type="spellStart"/>
      <w:r w:rsidR="0031492C">
        <w:rPr>
          <w:rFonts w:ascii="Times New Roman" w:hAnsi="Times New Roman" w:cs="Times New Roman"/>
          <w:sz w:val="24"/>
          <w:szCs w:val="24"/>
        </w:rPr>
        <w:t>Hoynes</w:t>
      </w:r>
      <w:proofErr w:type="spellEnd"/>
      <w:r w:rsidR="0031492C">
        <w:rPr>
          <w:rFonts w:ascii="Times New Roman" w:hAnsi="Times New Roman" w:cs="Times New Roman"/>
          <w:sz w:val="24"/>
          <w:szCs w:val="24"/>
        </w:rPr>
        <w:t xml:space="preserve"> (2005) show that for </w:t>
      </w:r>
      <w:r w:rsidRPr="007A5A1A">
        <w:rPr>
          <w:rFonts w:ascii="Times New Roman" w:hAnsi="Times New Roman" w:cs="Times New Roman"/>
          <w:sz w:val="24"/>
          <w:szCs w:val="24"/>
        </w:rPr>
        <w:t xml:space="preserve">women </w:t>
      </w:r>
      <w:r w:rsidR="000C493F">
        <w:rPr>
          <w:rFonts w:ascii="Times New Roman" w:hAnsi="Times New Roman" w:cs="Times New Roman"/>
          <w:sz w:val="24"/>
          <w:szCs w:val="24"/>
        </w:rPr>
        <w:t>with a job</w:t>
      </w:r>
      <w:r w:rsidRPr="007A5A1A">
        <w:rPr>
          <w:rFonts w:ascii="Times New Roman" w:hAnsi="Times New Roman" w:cs="Times New Roman"/>
          <w:sz w:val="24"/>
          <w:szCs w:val="24"/>
        </w:rPr>
        <w:t xml:space="preserve">, </w:t>
      </w:r>
      <w:r w:rsidR="000C493F">
        <w:rPr>
          <w:rFonts w:ascii="Times New Roman" w:hAnsi="Times New Roman" w:cs="Times New Roman"/>
          <w:sz w:val="24"/>
          <w:szCs w:val="24"/>
        </w:rPr>
        <w:t>working more hours</w:t>
      </w:r>
      <w:r w:rsidRPr="007A5A1A">
        <w:rPr>
          <w:rFonts w:ascii="Times New Roman" w:hAnsi="Times New Roman" w:cs="Times New Roman"/>
          <w:sz w:val="24"/>
          <w:szCs w:val="24"/>
        </w:rPr>
        <w:t xml:space="preserve">, say from part-time to full-time, </w:t>
      </w:r>
      <w:proofErr w:type="gramStart"/>
      <w:r w:rsidRPr="007A5A1A">
        <w:rPr>
          <w:rFonts w:ascii="Times New Roman" w:hAnsi="Times New Roman" w:cs="Times New Roman"/>
          <w:sz w:val="24"/>
          <w:szCs w:val="24"/>
        </w:rPr>
        <w:t>would</w:t>
      </w:r>
      <w:proofErr w:type="gramEnd"/>
      <w:r w:rsidRPr="007A5A1A">
        <w:rPr>
          <w:rFonts w:ascii="Times New Roman" w:hAnsi="Times New Roman" w:cs="Times New Roman"/>
          <w:sz w:val="24"/>
          <w:szCs w:val="24"/>
        </w:rPr>
        <w:t xml:space="preserve"> result in an increase in effective tax rates, thus creating an incentive to cut down on hours worked in the phase-out region.</w:t>
      </w:r>
      <w:r w:rsidRPr="00AC6069">
        <w:rPr>
          <w:rStyle w:val="FootnoteReference"/>
          <w:rFonts w:ascii="Times New Roman" w:hAnsi="Times New Roman" w:cs="Times New Roman"/>
          <w:sz w:val="24"/>
          <w:szCs w:val="24"/>
        </w:rPr>
        <w:footnoteReference w:id="33"/>
      </w:r>
      <w:r w:rsidRPr="00AC6069">
        <w:rPr>
          <w:rFonts w:ascii="Times New Roman" w:hAnsi="Times New Roman" w:cs="Times New Roman"/>
          <w:sz w:val="24"/>
          <w:szCs w:val="24"/>
        </w:rPr>
        <w:t xml:space="preserve"> Therefore, reducing the tax penalties by phasing out at a slower rate may be one improvement</w:t>
      </w:r>
      <w:r w:rsidRPr="00E877D5">
        <w:rPr>
          <w:rFonts w:ascii="Times New Roman" w:hAnsi="Times New Roman" w:cs="Times New Roman"/>
          <w:sz w:val="24"/>
          <w:szCs w:val="24"/>
        </w:rPr>
        <w:t>, though the trade-off would be that the EITC would be extended to higher income individuals as well.</w:t>
      </w:r>
      <w:r w:rsidRPr="00AC6069">
        <w:rPr>
          <w:rStyle w:val="FootnoteReference"/>
          <w:rFonts w:ascii="Times New Roman" w:hAnsi="Times New Roman" w:cs="Times New Roman"/>
          <w:sz w:val="24"/>
          <w:szCs w:val="24"/>
        </w:rPr>
        <w:footnoteReference w:id="34"/>
      </w:r>
      <w:r w:rsidRPr="007620D2">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Pr="00AC6069">
        <w:rPr>
          <w:rFonts w:ascii="Times New Roman" w:hAnsi="Times New Roman" w:cs="Times New Roman"/>
          <w:sz w:val="24"/>
          <w:szCs w:val="24"/>
        </w:rPr>
        <w:t xml:space="preserve"> </w:t>
      </w:r>
    </w:p>
    <w:p w:rsidR="003A18FF" w:rsidRDefault="003A18FF" w:rsidP="003A18FF">
      <w:pPr>
        <w:autoSpaceDE w:val="0"/>
        <w:autoSpaceDN w:val="0"/>
        <w:adjustRightInd w:val="0"/>
        <w:spacing w:after="0" w:line="360" w:lineRule="auto"/>
        <w:ind w:firstLine="360"/>
        <w:jc w:val="both"/>
        <w:rPr>
          <w:rFonts w:ascii="Times New Roman" w:hAnsi="Times New Roman" w:cs="Times New Roman"/>
          <w:sz w:val="24"/>
          <w:szCs w:val="24"/>
        </w:rPr>
      </w:pPr>
      <w:r w:rsidRPr="00AC6069">
        <w:rPr>
          <w:rFonts w:ascii="Times New Roman" w:hAnsi="Times New Roman" w:cs="Times New Roman"/>
          <w:sz w:val="24"/>
          <w:szCs w:val="24"/>
        </w:rPr>
        <w:t>A</w:t>
      </w:r>
      <w:r>
        <w:rPr>
          <w:rFonts w:ascii="Times New Roman" w:hAnsi="Times New Roman" w:cs="Times New Roman"/>
          <w:sz w:val="24"/>
          <w:szCs w:val="24"/>
        </w:rPr>
        <w:t>n</w:t>
      </w:r>
      <w:r w:rsidR="003165C9">
        <w:rPr>
          <w:rFonts w:ascii="Times New Roman" w:hAnsi="Times New Roman" w:cs="Times New Roman"/>
          <w:sz w:val="24"/>
          <w:szCs w:val="24"/>
        </w:rPr>
        <w:t>other possible</w:t>
      </w:r>
      <w:r>
        <w:rPr>
          <w:rFonts w:ascii="Times New Roman" w:hAnsi="Times New Roman" w:cs="Times New Roman"/>
          <w:sz w:val="24"/>
          <w:szCs w:val="24"/>
        </w:rPr>
        <w:t xml:space="preserve"> </w:t>
      </w:r>
      <w:r w:rsidRPr="00AC6069">
        <w:rPr>
          <w:rFonts w:ascii="Times New Roman" w:hAnsi="Times New Roman" w:cs="Times New Roman"/>
          <w:sz w:val="24"/>
          <w:szCs w:val="24"/>
        </w:rPr>
        <w:t>improvement</w:t>
      </w:r>
      <w:r>
        <w:rPr>
          <w:rFonts w:ascii="Times New Roman" w:hAnsi="Times New Roman" w:cs="Times New Roman"/>
          <w:sz w:val="24"/>
          <w:szCs w:val="24"/>
        </w:rPr>
        <w:t xml:space="preserve"> to</w:t>
      </w:r>
      <w:r w:rsidRPr="00AC6069">
        <w:rPr>
          <w:rFonts w:ascii="Times New Roman" w:hAnsi="Times New Roman" w:cs="Times New Roman"/>
          <w:sz w:val="24"/>
          <w:szCs w:val="24"/>
        </w:rPr>
        <w:t xml:space="preserve"> the EITC would be to extend the credits to</w:t>
      </w:r>
      <w:r>
        <w:rPr>
          <w:rFonts w:ascii="Times New Roman" w:hAnsi="Times New Roman" w:cs="Times New Roman"/>
          <w:sz w:val="24"/>
          <w:szCs w:val="24"/>
        </w:rPr>
        <w:t xml:space="preserve"> childless</w:t>
      </w:r>
      <w:r w:rsidRPr="00AC6069">
        <w:rPr>
          <w:rFonts w:ascii="Times New Roman" w:hAnsi="Times New Roman" w:cs="Times New Roman"/>
          <w:sz w:val="24"/>
          <w:szCs w:val="24"/>
        </w:rPr>
        <w:t xml:space="preserve"> individuals</w:t>
      </w:r>
      <w:r w:rsidR="003165C9">
        <w:rPr>
          <w:rFonts w:ascii="Times New Roman" w:hAnsi="Times New Roman" w:cs="Times New Roman"/>
          <w:sz w:val="24"/>
          <w:szCs w:val="24"/>
        </w:rPr>
        <w:t>. Currently, the majority of</w:t>
      </w:r>
      <w:r w:rsidRPr="00AC6069">
        <w:rPr>
          <w:rFonts w:ascii="Times New Roman" w:hAnsi="Times New Roman" w:cs="Times New Roman"/>
          <w:sz w:val="24"/>
          <w:szCs w:val="24"/>
        </w:rPr>
        <w:t xml:space="preserve"> benefits go to individuals with ch</w:t>
      </w:r>
      <w:r w:rsidRPr="00E877D5">
        <w:rPr>
          <w:rFonts w:ascii="Times New Roman" w:hAnsi="Times New Roman" w:cs="Times New Roman"/>
          <w:sz w:val="24"/>
          <w:szCs w:val="24"/>
        </w:rPr>
        <w:t xml:space="preserve">ildren, leaving out </w:t>
      </w:r>
      <w:r>
        <w:rPr>
          <w:rFonts w:ascii="Times New Roman" w:hAnsi="Times New Roman" w:cs="Times New Roman"/>
          <w:sz w:val="24"/>
          <w:szCs w:val="24"/>
        </w:rPr>
        <w:t>childless</w:t>
      </w:r>
      <w:r w:rsidRPr="00E877D5">
        <w:rPr>
          <w:rFonts w:ascii="Times New Roman" w:hAnsi="Times New Roman" w:cs="Times New Roman"/>
          <w:sz w:val="24"/>
          <w:szCs w:val="24"/>
        </w:rPr>
        <w:t xml:space="preserve"> adults</w:t>
      </w:r>
      <w:r w:rsidR="003165C9">
        <w:rPr>
          <w:rFonts w:ascii="Times New Roman" w:hAnsi="Times New Roman" w:cs="Times New Roman"/>
          <w:sz w:val="24"/>
          <w:szCs w:val="24"/>
        </w:rPr>
        <w:t>, who</w:t>
      </w:r>
      <w:r>
        <w:rPr>
          <w:rFonts w:ascii="Times New Roman" w:hAnsi="Times New Roman" w:cs="Times New Roman"/>
          <w:sz w:val="24"/>
          <w:szCs w:val="24"/>
        </w:rPr>
        <w:t xml:space="preserve"> are the least served in the welfare system. While some research suggests </w:t>
      </w:r>
      <w:r>
        <w:rPr>
          <w:rFonts w:ascii="Times New Roman" w:hAnsi="Times New Roman" w:cs="Times New Roman"/>
          <w:sz w:val="24"/>
          <w:szCs w:val="24"/>
        </w:rPr>
        <w:lastRenderedPageBreak/>
        <w:t>that the majority of these single adults are men or noncustodial parents who are already working, this may still be an effective means to transfer resources to another segment of the poor without significantly discouraging work.</w:t>
      </w:r>
      <w:r>
        <w:rPr>
          <w:rStyle w:val="FootnoteReference"/>
          <w:rFonts w:ascii="Times New Roman" w:hAnsi="Times New Roman" w:cs="Times New Roman"/>
          <w:sz w:val="24"/>
          <w:szCs w:val="24"/>
        </w:rPr>
        <w:footnoteReference w:id="36"/>
      </w:r>
    </w:p>
    <w:p w:rsidR="003A18FF" w:rsidRDefault="003A18FF" w:rsidP="003A18FF">
      <w:pPr>
        <w:autoSpaceDE w:val="0"/>
        <w:autoSpaceDN w:val="0"/>
        <w:adjustRightInd w:val="0"/>
        <w:spacing w:after="0" w:line="360" w:lineRule="auto"/>
        <w:ind w:firstLine="360"/>
        <w:jc w:val="both"/>
        <w:rPr>
          <w:rFonts w:ascii="Times New Roman" w:hAnsi="Times New Roman" w:cs="Times New Roman"/>
          <w:sz w:val="24"/>
          <w:szCs w:val="24"/>
        </w:rPr>
      </w:pPr>
      <w:r w:rsidRPr="00E877D5">
        <w:rPr>
          <w:rFonts w:ascii="Times New Roman" w:hAnsi="Times New Roman" w:cs="Times New Roman"/>
          <w:sz w:val="24"/>
          <w:szCs w:val="24"/>
        </w:rPr>
        <w:t>Finally, there ar</w:t>
      </w:r>
      <w:r w:rsidR="00742AF9">
        <w:rPr>
          <w:rFonts w:ascii="Times New Roman" w:hAnsi="Times New Roman" w:cs="Times New Roman"/>
          <w:sz w:val="24"/>
          <w:szCs w:val="24"/>
        </w:rPr>
        <w:t>e</w:t>
      </w:r>
      <w:r w:rsidRPr="00E877D5">
        <w:rPr>
          <w:rFonts w:ascii="Times New Roman" w:hAnsi="Times New Roman" w:cs="Times New Roman"/>
          <w:sz w:val="24"/>
          <w:szCs w:val="24"/>
        </w:rPr>
        <w:t xml:space="preserve"> significant marriage penalties in the EITC </w:t>
      </w:r>
      <w:r>
        <w:rPr>
          <w:rFonts w:ascii="Times New Roman" w:hAnsi="Times New Roman" w:cs="Times New Roman"/>
          <w:sz w:val="24"/>
          <w:szCs w:val="24"/>
        </w:rPr>
        <w:t xml:space="preserve">because </w:t>
      </w:r>
      <w:r w:rsidRPr="00E877D5">
        <w:rPr>
          <w:rFonts w:ascii="Times New Roman" w:hAnsi="Times New Roman" w:cs="Times New Roman"/>
          <w:sz w:val="24"/>
          <w:szCs w:val="24"/>
        </w:rPr>
        <w:t>credit is based</w:t>
      </w:r>
      <w:r w:rsidR="00B175D6">
        <w:rPr>
          <w:rFonts w:ascii="Times New Roman" w:hAnsi="Times New Roman" w:cs="Times New Roman"/>
          <w:sz w:val="24"/>
          <w:szCs w:val="24"/>
        </w:rPr>
        <w:t xml:space="preserve"> on family income rather than</w:t>
      </w:r>
      <w:r w:rsidRPr="00E877D5">
        <w:rPr>
          <w:rFonts w:ascii="Times New Roman" w:hAnsi="Times New Roman" w:cs="Times New Roman"/>
          <w:sz w:val="24"/>
          <w:szCs w:val="24"/>
        </w:rPr>
        <w:t xml:space="preserve"> individual income. As a result, a married woman with a husband who works full-</w:t>
      </w:r>
      <w:proofErr w:type="gramStart"/>
      <w:r w:rsidRPr="00E877D5">
        <w:rPr>
          <w:rFonts w:ascii="Times New Roman" w:hAnsi="Times New Roman" w:cs="Times New Roman"/>
          <w:sz w:val="24"/>
          <w:szCs w:val="24"/>
        </w:rPr>
        <w:t>time,</w:t>
      </w:r>
      <w:proofErr w:type="gramEnd"/>
      <w:r w:rsidRPr="00E877D5">
        <w:rPr>
          <w:rFonts w:ascii="Times New Roman" w:hAnsi="Times New Roman" w:cs="Times New Roman"/>
          <w:sz w:val="24"/>
          <w:szCs w:val="24"/>
        </w:rPr>
        <w:t xml:space="preserve"> faces significantly higher tax rates with the EITC than without it. Also, married women with children face much higher tax rates than single women with children</w:t>
      </w:r>
      <w:r w:rsidR="002B4804">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E877D5">
        <w:rPr>
          <w:rFonts w:ascii="Times New Roman" w:hAnsi="Times New Roman" w:cs="Times New Roman"/>
          <w:sz w:val="24"/>
          <w:szCs w:val="24"/>
        </w:rPr>
        <w:t xml:space="preserve"> </w:t>
      </w:r>
      <w:proofErr w:type="spellStart"/>
      <w:r>
        <w:rPr>
          <w:rFonts w:ascii="Times New Roman" w:hAnsi="Times New Roman" w:cs="Times New Roman"/>
          <w:sz w:val="24"/>
          <w:szCs w:val="24"/>
        </w:rPr>
        <w:t>Holtzblatt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Robelein</w:t>
      </w:r>
      <w:proofErr w:type="spellEnd"/>
      <w:r>
        <w:rPr>
          <w:rFonts w:ascii="Times New Roman" w:hAnsi="Times New Roman" w:cs="Times New Roman"/>
          <w:sz w:val="24"/>
          <w:szCs w:val="24"/>
        </w:rPr>
        <w:t xml:space="preserve"> (2001) conclude that the least expensive option to ease the marriage penalty would be to allow for a second-earner deduction.</w:t>
      </w:r>
      <w:r w:rsidR="003F44B0">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This would reduce the amount of income subject to a tax for a two-earner family, thus extending and flattening out the phase-out region. This would be more cost-effective than the approach adopted in ARRA which extended the plateau of the EITC schedule for joint filers.</w:t>
      </w:r>
    </w:p>
    <w:p w:rsidR="003A18FF" w:rsidRDefault="0004385B" w:rsidP="003A18FF">
      <w:pPr>
        <w:autoSpaceDE w:val="0"/>
        <w:autoSpaceDN w:val="0"/>
        <w:adjustRightInd w:val="0"/>
        <w:spacing w:after="0" w:line="360" w:lineRule="auto"/>
        <w:ind w:firstLine="360"/>
        <w:jc w:val="both"/>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T</w:t>
      </w:r>
      <w:r w:rsidR="003A18FF" w:rsidRPr="007A5A1A">
        <w:rPr>
          <w:rFonts w:ascii="Times New Roman" w:eastAsia="Times New Roman" w:hAnsi="Times New Roman" w:cs="Times New Roman"/>
          <w:sz w:val="24"/>
          <w:szCs w:val="24"/>
        </w:rPr>
        <w:t xml:space="preserve">he </w:t>
      </w:r>
      <w:r w:rsidR="003A18FF">
        <w:rPr>
          <w:rFonts w:ascii="Times New Roman" w:eastAsia="Times New Roman" w:hAnsi="Times New Roman" w:cs="Times New Roman"/>
          <w:sz w:val="24"/>
          <w:szCs w:val="24"/>
        </w:rPr>
        <w:t>system of tax credits and means-tested transfers such as the EITC, TANF, SNAP, and Medicaid or CHIP should be designed to minimize disincentives for work</w:t>
      </w:r>
      <w:r w:rsidR="003A18FF" w:rsidRPr="007A5A1A">
        <w:rPr>
          <w:rFonts w:ascii="Times New Roman" w:eastAsia="Times New Roman" w:hAnsi="Times New Roman" w:cs="Times New Roman"/>
          <w:sz w:val="24"/>
          <w:szCs w:val="24"/>
        </w:rPr>
        <w:t xml:space="preserve">.  </w:t>
      </w:r>
      <w:r w:rsidR="003A18FF">
        <w:rPr>
          <w:rFonts w:ascii="Times New Roman" w:eastAsia="Times New Roman" w:hAnsi="Times New Roman" w:cs="Times New Roman"/>
          <w:color w:val="1A1A1A"/>
          <w:sz w:val="24"/>
          <w:szCs w:val="24"/>
        </w:rPr>
        <w:t>On</w:t>
      </w:r>
      <w:r w:rsidR="003A18FF" w:rsidRPr="007A5A1A">
        <w:rPr>
          <w:rFonts w:ascii="Times New Roman" w:eastAsia="Times New Roman" w:hAnsi="Times New Roman" w:cs="Times New Roman"/>
          <w:color w:val="1A1A1A"/>
          <w:sz w:val="24"/>
          <w:szCs w:val="24"/>
        </w:rPr>
        <w:t xml:space="preserve"> balance, low-in</w:t>
      </w:r>
      <w:r w:rsidR="003A18FF">
        <w:rPr>
          <w:rFonts w:ascii="Times New Roman" w:eastAsia="Times New Roman" w:hAnsi="Times New Roman" w:cs="Times New Roman"/>
          <w:color w:val="1A1A1A"/>
          <w:sz w:val="24"/>
          <w:szCs w:val="24"/>
        </w:rPr>
        <w:t>come households could face up to a 30 percent</w:t>
      </w:r>
      <w:r w:rsidR="003A18FF" w:rsidRPr="007A5A1A">
        <w:rPr>
          <w:rFonts w:ascii="Times New Roman" w:eastAsia="Times New Roman" w:hAnsi="Times New Roman" w:cs="Times New Roman"/>
          <w:color w:val="1A1A1A"/>
          <w:sz w:val="24"/>
          <w:szCs w:val="24"/>
        </w:rPr>
        <w:t xml:space="preserve"> marginal tax rate </w:t>
      </w:r>
      <w:r w:rsidR="003A18FF">
        <w:rPr>
          <w:rFonts w:ascii="Times New Roman" w:eastAsia="Times New Roman" w:hAnsi="Times New Roman" w:cs="Times New Roman"/>
          <w:color w:val="1A1A1A"/>
          <w:sz w:val="24"/>
          <w:szCs w:val="24"/>
        </w:rPr>
        <w:t>at low levels of earned income</w:t>
      </w:r>
      <w:r w:rsidR="003A18FF" w:rsidRPr="007A5A1A">
        <w:rPr>
          <w:rFonts w:ascii="Times New Roman" w:eastAsia="Times New Roman" w:hAnsi="Times New Roman" w:cs="Times New Roman"/>
          <w:color w:val="1A1A1A"/>
          <w:sz w:val="24"/>
          <w:szCs w:val="24"/>
        </w:rPr>
        <w:t xml:space="preserve"> because of a phase-out of </w:t>
      </w:r>
      <w:r w:rsidR="003A18FF">
        <w:rPr>
          <w:rFonts w:ascii="Times New Roman" w:eastAsia="Times New Roman" w:hAnsi="Times New Roman" w:cs="Times New Roman"/>
          <w:color w:val="1A1A1A"/>
          <w:sz w:val="24"/>
          <w:szCs w:val="24"/>
        </w:rPr>
        <w:t>these different credit and transfer programs</w:t>
      </w:r>
      <w:r w:rsidR="003A18FF" w:rsidRPr="007A5A1A">
        <w:rPr>
          <w:rFonts w:ascii="Times New Roman" w:eastAsia="Times New Roman" w:hAnsi="Times New Roman" w:cs="Times New Roman"/>
          <w:color w:val="1A1A1A"/>
          <w:sz w:val="24"/>
          <w:szCs w:val="24"/>
        </w:rPr>
        <w:t>, according to the Congressional Budget Office.</w:t>
      </w:r>
      <w:r w:rsidR="003A18FF" w:rsidRPr="007A5A1A">
        <w:rPr>
          <w:rStyle w:val="FootnoteReference"/>
          <w:rFonts w:ascii="Times New Roman" w:eastAsia="Times New Roman" w:hAnsi="Times New Roman" w:cs="Times New Roman"/>
          <w:color w:val="1A1A1A"/>
          <w:sz w:val="24"/>
          <w:szCs w:val="24"/>
        </w:rPr>
        <w:footnoteReference w:id="39"/>
      </w:r>
      <w:r w:rsidR="003A18FF" w:rsidRPr="007A5A1A">
        <w:rPr>
          <w:rFonts w:ascii="Times New Roman" w:eastAsia="Times New Roman" w:hAnsi="Times New Roman" w:cs="Times New Roman"/>
          <w:color w:val="1A1A1A"/>
          <w:sz w:val="24"/>
          <w:szCs w:val="24"/>
        </w:rPr>
        <w:t xml:space="preserve">  </w:t>
      </w:r>
      <w:r w:rsidR="003A18FF">
        <w:rPr>
          <w:rFonts w:ascii="Times New Roman" w:eastAsia="Times New Roman" w:hAnsi="Times New Roman" w:cs="Times New Roman"/>
          <w:color w:val="1A1A1A"/>
          <w:sz w:val="24"/>
          <w:szCs w:val="24"/>
        </w:rPr>
        <w:t>The CBO suggests that these increases in marginal tax rates tend to decrease the supply of labor by inducing people in the workforce to put in fewer hours or be less productive. At the very least, combining some of</w:t>
      </w:r>
      <w:r w:rsidR="003A18FF" w:rsidRPr="007A5A1A">
        <w:rPr>
          <w:rFonts w:ascii="Times New Roman" w:eastAsia="Times New Roman" w:hAnsi="Times New Roman" w:cs="Times New Roman"/>
          <w:color w:val="1A1A1A"/>
          <w:sz w:val="24"/>
          <w:szCs w:val="24"/>
        </w:rPr>
        <w:t xml:space="preserve"> </w:t>
      </w:r>
      <w:r w:rsidR="003A18FF">
        <w:rPr>
          <w:rFonts w:ascii="Times New Roman" w:eastAsia="Times New Roman" w:hAnsi="Times New Roman" w:cs="Times New Roman"/>
          <w:color w:val="1A1A1A"/>
          <w:sz w:val="24"/>
          <w:szCs w:val="24"/>
        </w:rPr>
        <w:t xml:space="preserve">the </w:t>
      </w:r>
      <w:r w:rsidR="003A18FF" w:rsidRPr="007A5A1A">
        <w:rPr>
          <w:rFonts w:ascii="Times New Roman" w:eastAsia="Times New Roman" w:hAnsi="Times New Roman" w:cs="Times New Roman"/>
          <w:color w:val="1A1A1A"/>
          <w:sz w:val="24"/>
          <w:szCs w:val="24"/>
        </w:rPr>
        <w:t xml:space="preserve">means-tested programs </w:t>
      </w:r>
      <w:r w:rsidR="003A18FF">
        <w:rPr>
          <w:rFonts w:ascii="Times New Roman" w:eastAsia="Times New Roman" w:hAnsi="Times New Roman" w:cs="Times New Roman"/>
          <w:color w:val="1A1A1A"/>
          <w:sz w:val="24"/>
          <w:szCs w:val="24"/>
        </w:rPr>
        <w:t xml:space="preserve">(such as SNAP, TANF and Housing Vouchers) </w:t>
      </w:r>
      <w:r w:rsidR="003A18FF" w:rsidRPr="007A5A1A">
        <w:rPr>
          <w:rFonts w:ascii="Times New Roman" w:eastAsia="Times New Roman" w:hAnsi="Times New Roman" w:cs="Times New Roman"/>
          <w:color w:val="1A1A1A"/>
          <w:sz w:val="24"/>
          <w:szCs w:val="24"/>
        </w:rPr>
        <w:t xml:space="preserve">into </w:t>
      </w:r>
      <w:r w:rsidR="003A18FF">
        <w:rPr>
          <w:rFonts w:ascii="Times New Roman" w:eastAsia="Times New Roman" w:hAnsi="Times New Roman" w:cs="Times New Roman"/>
          <w:color w:val="1A1A1A"/>
          <w:sz w:val="24"/>
          <w:szCs w:val="24"/>
        </w:rPr>
        <w:t xml:space="preserve">a single </w:t>
      </w:r>
      <w:r w:rsidR="003A18FF" w:rsidRPr="007A5A1A">
        <w:rPr>
          <w:rFonts w:ascii="Times New Roman" w:eastAsia="Times New Roman" w:hAnsi="Times New Roman" w:cs="Times New Roman"/>
          <w:color w:val="1A1A1A"/>
          <w:sz w:val="24"/>
          <w:szCs w:val="24"/>
        </w:rPr>
        <w:t>program</w:t>
      </w:r>
      <w:r w:rsidR="003A18FF">
        <w:rPr>
          <w:rFonts w:ascii="Times New Roman" w:eastAsia="Times New Roman" w:hAnsi="Times New Roman" w:cs="Times New Roman"/>
          <w:color w:val="1A1A1A"/>
          <w:sz w:val="24"/>
          <w:szCs w:val="24"/>
        </w:rPr>
        <w:t xml:space="preserve"> c</w:t>
      </w:r>
      <w:r w:rsidR="003A18FF" w:rsidRPr="007A5A1A">
        <w:rPr>
          <w:rFonts w:ascii="Times New Roman" w:eastAsia="Times New Roman" w:hAnsi="Times New Roman" w:cs="Times New Roman"/>
          <w:color w:val="1A1A1A"/>
          <w:sz w:val="24"/>
          <w:szCs w:val="24"/>
        </w:rPr>
        <w:t xml:space="preserve">ould </w:t>
      </w:r>
      <w:r w:rsidR="003A18FF">
        <w:rPr>
          <w:rFonts w:ascii="Times New Roman" w:eastAsia="Times New Roman" w:hAnsi="Times New Roman" w:cs="Times New Roman"/>
          <w:color w:val="1A1A1A"/>
          <w:sz w:val="24"/>
          <w:szCs w:val="24"/>
        </w:rPr>
        <w:t>improve take-up rates</w:t>
      </w:r>
      <w:r w:rsidR="003A18FF" w:rsidRPr="007A5A1A">
        <w:rPr>
          <w:rFonts w:ascii="Times New Roman" w:eastAsia="Times New Roman" w:hAnsi="Times New Roman" w:cs="Times New Roman"/>
          <w:color w:val="1A1A1A"/>
          <w:sz w:val="24"/>
          <w:szCs w:val="24"/>
        </w:rPr>
        <w:t xml:space="preserve"> </w:t>
      </w:r>
      <w:r w:rsidR="003A18FF">
        <w:rPr>
          <w:rFonts w:ascii="Times New Roman" w:eastAsia="Times New Roman" w:hAnsi="Times New Roman" w:cs="Times New Roman"/>
          <w:color w:val="1A1A1A"/>
          <w:sz w:val="24"/>
          <w:szCs w:val="24"/>
        </w:rPr>
        <w:t>and</w:t>
      </w:r>
      <w:r w:rsidR="003A18FF" w:rsidRPr="007A5A1A">
        <w:rPr>
          <w:rFonts w:ascii="Times New Roman" w:eastAsia="Times New Roman" w:hAnsi="Times New Roman" w:cs="Times New Roman"/>
          <w:color w:val="1A1A1A"/>
          <w:sz w:val="24"/>
          <w:szCs w:val="24"/>
        </w:rPr>
        <w:t xml:space="preserve"> allow policymakers to </w:t>
      </w:r>
      <w:r w:rsidR="003A18FF">
        <w:rPr>
          <w:rFonts w:ascii="Times New Roman" w:eastAsia="Times New Roman" w:hAnsi="Times New Roman" w:cs="Times New Roman"/>
          <w:color w:val="1A1A1A"/>
          <w:sz w:val="24"/>
          <w:szCs w:val="24"/>
        </w:rPr>
        <w:t>obtain a clearer understanding of the marginal tax rates faced by low-income individuals.</w:t>
      </w:r>
    </w:p>
    <w:p w:rsidR="003A18FF" w:rsidRPr="00AC6069" w:rsidRDefault="003A18FF" w:rsidP="003A18FF">
      <w:pPr>
        <w:autoSpaceDE w:val="0"/>
        <w:autoSpaceDN w:val="0"/>
        <w:adjustRightInd w:val="0"/>
        <w:spacing w:after="0" w:line="360" w:lineRule="auto"/>
        <w:ind w:firstLine="360"/>
        <w:jc w:val="both"/>
        <w:rPr>
          <w:rFonts w:ascii="Times New Roman" w:hAnsi="Times New Roman" w:cs="Times New Roman"/>
          <w:sz w:val="24"/>
          <w:szCs w:val="24"/>
        </w:rPr>
      </w:pPr>
    </w:p>
    <w:p w:rsidR="003A18FF" w:rsidRPr="00507707" w:rsidRDefault="003A18FF" w:rsidP="003A1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III.C. </w:t>
      </w:r>
      <w:r w:rsidRPr="00507707">
        <w:rPr>
          <w:rFonts w:ascii="Times New Roman" w:hAnsi="Times New Roman" w:cs="Times New Roman"/>
          <w:sz w:val="24"/>
          <w:szCs w:val="24"/>
        </w:rPr>
        <w:t>Good Quality Schooling</w:t>
      </w:r>
    </w:p>
    <w:p w:rsidR="003A18FF" w:rsidRPr="00AC6069" w:rsidRDefault="003A18FF" w:rsidP="003A18FF">
      <w:pPr>
        <w:autoSpaceDE w:val="0"/>
        <w:autoSpaceDN w:val="0"/>
        <w:adjustRightInd w:val="0"/>
        <w:spacing w:after="0" w:line="240" w:lineRule="auto"/>
        <w:rPr>
          <w:rFonts w:ascii="Times New Roman" w:hAnsi="Times New Roman" w:cs="Times New Roman"/>
          <w:sz w:val="24"/>
          <w:szCs w:val="24"/>
        </w:rPr>
      </w:pPr>
    </w:p>
    <w:p w:rsidR="003A18FF" w:rsidRDefault="008D752F" w:rsidP="003A18FF">
      <w:pPr>
        <w:autoSpaceDE w:val="0"/>
        <w:autoSpaceDN w:val="0"/>
        <w:adjustRightInd w:val="0"/>
        <w:spacing w:after="0" w:line="360" w:lineRule="auto"/>
        <w:ind w:firstLine="360"/>
        <w:jc w:val="both"/>
        <w:rPr>
          <w:rFonts w:ascii="Times New Roman" w:eastAsia="Times New Roman" w:hAnsi="Times New Roman" w:cs="Times New Roman"/>
          <w:color w:val="1A1A1A"/>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Chetty</w:t>
      </w:r>
      <w:proofErr w:type="spellEnd"/>
      <w:r>
        <w:rPr>
          <w:rFonts w:ascii="Times New Roman" w:hAnsi="Times New Roman" w:cs="Times New Roman"/>
          <w:sz w:val="24"/>
          <w:szCs w:val="24"/>
        </w:rPr>
        <w:t xml:space="preserve"> (2014</w:t>
      </w:r>
      <w:r w:rsidR="00052886">
        <w:rPr>
          <w:rFonts w:ascii="Times New Roman" w:hAnsi="Times New Roman" w:cs="Times New Roman"/>
          <w:sz w:val="24"/>
          <w:szCs w:val="24"/>
        </w:rPr>
        <w:t xml:space="preserve">) paper, </w:t>
      </w:r>
      <w:r w:rsidR="003A18FF" w:rsidRPr="007A5A1A">
        <w:rPr>
          <w:rFonts w:ascii="Times New Roman" w:hAnsi="Times New Roman" w:cs="Times New Roman"/>
          <w:sz w:val="24"/>
          <w:szCs w:val="24"/>
        </w:rPr>
        <w:t>income-adjusted test score</w:t>
      </w:r>
      <w:r w:rsidR="00052886">
        <w:rPr>
          <w:rFonts w:ascii="Times New Roman" w:hAnsi="Times New Roman" w:cs="Times New Roman"/>
          <w:sz w:val="24"/>
          <w:szCs w:val="24"/>
        </w:rPr>
        <w:t>s</w:t>
      </w:r>
      <w:r w:rsidR="003A18FF" w:rsidRPr="007A5A1A">
        <w:rPr>
          <w:rFonts w:ascii="Times New Roman" w:hAnsi="Times New Roman" w:cs="Times New Roman"/>
          <w:sz w:val="24"/>
          <w:szCs w:val="24"/>
        </w:rPr>
        <w:t xml:space="preserve"> and dropout rates are very highly correlated with upward mo</w:t>
      </w:r>
      <w:r w:rsidR="0031492C">
        <w:rPr>
          <w:rFonts w:ascii="Times New Roman" w:hAnsi="Times New Roman" w:cs="Times New Roman"/>
          <w:sz w:val="24"/>
          <w:szCs w:val="24"/>
        </w:rPr>
        <w:t>bility</w:t>
      </w:r>
      <w:r w:rsidR="003A18FF" w:rsidRPr="007A5A1A">
        <w:rPr>
          <w:rFonts w:ascii="Times New Roman" w:hAnsi="Times New Roman" w:cs="Times New Roman"/>
          <w:sz w:val="24"/>
          <w:szCs w:val="24"/>
        </w:rPr>
        <w:t xml:space="preserve">. These results are consistent with the hypothesis that the quality </w:t>
      </w:r>
      <w:r w:rsidR="003A18FF" w:rsidRPr="007A5A1A">
        <w:rPr>
          <w:rFonts w:ascii="Times New Roman" w:hAnsi="Times New Roman" w:cs="Times New Roman"/>
          <w:sz w:val="24"/>
          <w:szCs w:val="24"/>
        </w:rPr>
        <w:lastRenderedPageBreak/>
        <w:t>of schools plays a role in upward mobility. Areas with greater upward mobility tend to have high college attendance rates for children from low-income families</w:t>
      </w:r>
      <w:r w:rsidR="00052886">
        <w:rPr>
          <w:rFonts w:ascii="Times New Roman" w:hAnsi="Times New Roman" w:cs="Times New Roman"/>
          <w:sz w:val="24"/>
          <w:szCs w:val="24"/>
        </w:rPr>
        <w:t>,</w:t>
      </w:r>
      <w:r w:rsidR="003A18FF" w:rsidRPr="007A5A1A">
        <w:rPr>
          <w:rFonts w:ascii="Times New Roman" w:hAnsi="Times New Roman" w:cs="Times New Roman"/>
          <w:sz w:val="24"/>
          <w:szCs w:val="24"/>
        </w:rPr>
        <w:t xml:space="preserve"> suggesting that attending college is an important pathway for moving up in the income distribution.</w:t>
      </w:r>
      <w:r w:rsidR="003A18FF">
        <w:rPr>
          <w:rFonts w:ascii="Times New Roman" w:hAnsi="Times New Roman" w:cs="Times New Roman"/>
          <w:sz w:val="24"/>
          <w:szCs w:val="24"/>
        </w:rPr>
        <w:t xml:space="preserve"> </w:t>
      </w:r>
      <w:r w:rsidR="003A18FF">
        <w:rPr>
          <w:rFonts w:ascii="Times New Roman" w:eastAsia="Times New Roman" w:hAnsi="Times New Roman" w:cs="Times New Roman"/>
          <w:color w:val="1A1A1A"/>
          <w:sz w:val="24"/>
          <w:szCs w:val="24"/>
        </w:rPr>
        <w:t xml:space="preserve"> The Pew Study finds that test score differences, </w:t>
      </w:r>
      <w:r w:rsidR="00052886">
        <w:rPr>
          <w:rFonts w:ascii="Times New Roman" w:eastAsia="Times New Roman" w:hAnsi="Times New Roman" w:cs="Times New Roman"/>
          <w:color w:val="1A1A1A"/>
          <w:sz w:val="24"/>
          <w:szCs w:val="24"/>
        </w:rPr>
        <w:t>which proxy for</w:t>
      </w:r>
      <w:r w:rsidR="003A18FF">
        <w:rPr>
          <w:rFonts w:ascii="Times New Roman" w:eastAsia="Times New Roman" w:hAnsi="Times New Roman" w:cs="Times New Roman"/>
          <w:color w:val="1A1A1A"/>
          <w:sz w:val="24"/>
          <w:szCs w:val="24"/>
        </w:rPr>
        <w:t xml:space="preserve"> skill differences, can explain a large share of the </w:t>
      </w:r>
      <w:r w:rsidR="00052886">
        <w:rPr>
          <w:rFonts w:ascii="Times New Roman" w:eastAsia="Times New Roman" w:hAnsi="Times New Roman" w:cs="Times New Roman"/>
          <w:color w:val="1A1A1A"/>
          <w:sz w:val="24"/>
          <w:szCs w:val="24"/>
        </w:rPr>
        <w:t>b</w:t>
      </w:r>
      <w:r w:rsidR="003A18FF">
        <w:rPr>
          <w:rFonts w:ascii="Times New Roman" w:eastAsia="Times New Roman" w:hAnsi="Times New Roman" w:cs="Times New Roman"/>
          <w:color w:val="1A1A1A"/>
          <w:sz w:val="24"/>
          <w:szCs w:val="24"/>
        </w:rPr>
        <w:t>lack-</w:t>
      </w:r>
      <w:r w:rsidR="00052886">
        <w:rPr>
          <w:rFonts w:ascii="Times New Roman" w:eastAsia="Times New Roman" w:hAnsi="Times New Roman" w:cs="Times New Roman"/>
          <w:color w:val="1A1A1A"/>
          <w:sz w:val="24"/>
          <w:szCs w:val="24"/>
        </w:rPr>
        <w:t>w</w:t>
      </w:r>
      <w:r w:rsidR="003A18FF">
        <w:rPr>
          <w:rFonts w:ascii="Times New Roman" w:eastAsia="Times New Roman" w:hAnsi="Times New Roman" w:cs="Times New Roman"/>
          <w:color w:val="1A1A1A"/>
          <w:sz w:val="24"/>
          <w:szCs w:val="24"/>
        </w:rPr>
        <w:t>hite mobility gap.</w:t>
      </w:r>
      <w:r w:rsidR="003A18FF">
        <w:rPr>
          <w:rStyle w:val="FootnoteReference"/>
          <w:rFonts w:ascii="Times New Roman" w:eastAsia="Times New Roman" w:hAnsi="Times New Roman" w:cs="Times New Roman"/>
          <w:color w:val="1A1A1A"/>
          <w:sz w:val="24"/>
          <w:szCs w:val="24"/>
        </w:rPr>
        <w:footnoteReference w:id="40"/>
      </w:r>
      <w:r w:rsidR="003A18FF">
        <w:rPr>
          <w:rFonts w:ascii="Times New Roman" w:eastAsia="Times New Roman" w:hAnsi="Times New Roman" w:cs="Times New Roman"/>
          <w:color w:val="1A1A1A"/>
          <w:sz w:val="24"/>
          <w:szCs w:val="24"/>
        </w:rPr>
        <w:t xml:space="preserve"> Further, the more</w:t>
      </w:r>
      <w:r w:rsidR="0031492C">
        <w:rPr>
          <w:rFonts w:ascii="Times New Roman" w:eastAsia="Times New Roman" w:hAnsi="Times New Roman" w:cs="Times New Roman"/>
          <w:color w:val="1A1A1A"/>
          <w:sz w:val="24"/>
          <w:szCs w:val="24"/>
        </w:rPr>
        <w:t xml:space="preserve"> years of scho</w:t>
      </w:r>
      <w:r w:rsidR="00082D0E">
        <w:rPr>
          <w:rFonts w:ascii="Times New Roman" w:eastAsia="Times New Roman" w:hAnsi="Times New Roman" w:cs="Times New Roman"/>
          <w:color w:val="1A1A1A"/>
          <w:sz w:val="24"/>
          <w:szCs w:val="24"/>
        </w:rPr>
        <w:t>oling b</w:t>
      </w:r>
      <w:r w:rsidR="0031492C">
        <w:rPr>
          <w:rFonts w:ascii="Times New Roman" w:eastAsia="Times New Roman" w:hAnsi="Times New Roman" w:cs="Times New Roman"/>
          <w:color w:val="1A1A1A"/>
          <w:sz w:val="24"/>
          <w:szCs w:val="24"/>
        </w:rPr>
        <w:t xml:space="preserve">lack (and </w:t>
      </w:r>
      <w:r w:rsidR="00082D0E">
        <w:rPr>
          <w:rFonts w:ascii="Times New Roman" w:eastAsia="Times New Roman" w:hAnsi="Times New Roman" w:cs="Times New Roman"/>
          <w:color w:val="1A1A1A"/>
          <w:sz w:val="24"/>
          <w:szCs w:val="24"/>
        </w:rPr>
        <w:t>w</w:t>
      </w:r>
      <w:r w:rsidR="003A18FF">
        <w:rPr>
          <w:rFonts w:ascii="Times New Roman" w:eastAsia="Times New Roman" w:hAnsi="Times New Roman" w:cs="Times New Roman"/>
          <w:color w:val="1A1A1A"/>
          <w:sz w:val="24"/>
          <w:szCs w:val="24"/>
        </w:rPr>
        <w:t xml:space="preserve">hite) children attain, the more likely they are to move out of the bottom quintile. The </w:t>
      </w:r>
      <w:r w:rsidR="00082D0E">
        <w:rPr>
          <w:rFonts w:ascii="Times New Roman" w:eastAsia="Times New Roman" w:hAnsi="Times New Roman" w:cs="Times New Roman"/>
          <w:color w:val="1A1A1A"/>
          <w:sz w:val="24"/>
          <w:szCs w:val="24"/>
        </w:rPr>
        <w:t>b</w:t>
      </w:r>
      <w:r w:rsidR="003A18FF">
        <w:rPr>
          <w:rFonts w:ascii="Times New Roman" w:eastAsia="Times New Roman" w:hAnsi="Times New Roman" w:cs="Times New Roman"/>
          <w:color w:val="1A1A1A"/>
          <w:sz w:val="24"/>
          <w:szCs w:val="24"/>
        </w:rPr>
        <w:t>lack-</w:t>
      </w:r>
      <w:r w:rsidR="00082D0E">
        <w:rPr>
          <w:rFonts w:ascii="Times New Roman" w:eastAsia="Times New Roman" w:hAnsi="Times New Roman" w:cs="Times New Roman"/>
          <w:color w:val="1A1A1A"/>
          <w:sz w:val="24"/>
          <w:szCs w:val="24"/>
        </w:rPr>
        <w:t>w</w:t>
      </w:r>
      <w:r w:rsidR="003A18FF">
        <w:rPr>
          <w:rFonts w:ascii="Times New Roman" w:eastAsia="Times New Roman" w:hAnsi="Times New Roman" w:cs="Times New Roman"/>
          <w:color w:val="1A1A1A"/>
          <w:sz w:val="24"/>
          <w:szCs w:val="24"/>
        </w:rPr>
        <w:t>hite mobility gap reduces significantly for children who complete college.</w:t>
      </w:r>
    </w:p>
    <w:p w:rsidR="003A18FF" w:rsidRPr="00AC6069" w:rsidRDefault="003A18FF" w:rsidP="003A18FF">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eastAsia="Times New Roman" w:hAnsi="Times New Roman" w:cs="Times New Roman"/>
          <w:color w:val="1A1A1A"/>
          <w:sz w:val="24"/>
          <w:szCs w:val="24"/>
        </w:rPr>
        <w:t>Research suggests that even when there is no difference in ini</w:t>
      </w:r>
      <w:r w:rsidR="0031492C">
        <w:rPr>
          <w:rFonts w:ascii="Times New Roman" w:eastAsia="Times New Roman" w:hAnsi="Times New Roman" w:cs="Times New Roman"/>
          <w:color w:val="1A1A1A"/>
          <w:sz w:val="24"/>
          <w:szCs w:val="24"/>
        </w:rPr>
        <w:t xml:space="preserve">tial test scores for </w:t>
      </w:r>
      <w:r w:rsidR="00082D0E">
        <w:rPr>
          <w:rFonts w:ascii="Times New Roman" w:eastAsia="Times New Roman" w:hAnsi="Times New Roman" w:cs="Times New Roman"/>
          <w:color w:val="1A1A1A"/>
          <w:sz w:val="24"/>
          <w:szCs w:val="24"/>
        </w:rPr>
        <w:t>b</w:t>
      </w:r>
      <w:r w:rsidR="0031492C">
        <w:rPr>
          <w:rFonts w:ascii="Times New Roman" w:eastAsia="Times New Roman" w:hAnsi="Times New Roman" w:cs="Times New Roman"/>
          <w:color w:val="1A1A1A"/>
          <w:sz w:val="24"/>
          <w:szCs w:val="24"/>
        </w:rPr>
        <w:t xml:space="preserve">lack and </w:t>
      </w:r>
      <w:r w:rsidR="00082D0E">
        <w:rPr>
          <w:rFonts w:ascii="Times New Roman" w:eastAsia="Times New Roman" w:hAnsi="Times New Roman" w:cs="Times New Roman"/>
          <w:color w:val="1A1A1A"/>
          <w:sz w:val="24"/>
          <w:szCs w:val="24"/>
        </w:rPr>
        <w:t>w</w:t>
      </w:r>
      <w:r>
        <w:rPr>
          <w:rFonts w:ascii="Times New Roman" w:eastAsia="Times New Roman" w:hAnsi="Times New Roman" w:cs="Times New Roman"/>
          <w:color w:val="1A1A1A"/>
          <w:sz w:val="24"/>
          <w:szCs w:val="24"/>
        </w:rPr>
        <w:t xml:space="preserve">hite children when they enter kindergarten, </w:t>
      </w:r>
      <w:r w:rsidR="00082D0E">
        <w:rPr>
          <w:rFonts w:ascii="Times New Roman" w:eastAsia="Times New Roman" w:hAnsi="Times New Roman" w:cs="Times New Roman"/>
          <w:color w:val="1A1A1A"/>
          <w:sz w:val="24"/>
          <w:szCs w:val="24"/>
        </w:rPr>
        <w:t>b</w:t>
      </w:r>
      <w:r>
        <w:rPr>
          <w:rFonts w:ascii="Times New Roman" w:eastAsia="Times New Roman" w:hAnsi="Times New Roman" w:cs="Times New Roman"/>
          <w:color w:val="1A1A1A"/>
          <w:sz w:val="24"/>
          <w:szCs w:val="24"/>
        </w:rPr>
        <w:t xml:space="preserve">lack students start </w:t>
      </w:r>
      <w:r w:rsidR="00082D0E">
        <w:rPr>
          <w:rFonts w:ascii="Times New Roman" w:eastAsia="Times New Roman" w:hAnsi="Times New Roman" w:cs="Times New Roman"/>
          <w:color w:val="1A1A1A"/>
          <w:sz w:val="24"/>
          <w:szCs w:val="24"/>
        </w:rPr>
        <w:t>falling behind</w:t>
      </w:r>
      <w:r>
        <w:rPr>
          <w:rFonts w:ascii="Times New Roman" w:eastAsia="Times New Roman" w:hAnsi="Times New Roman" w:cs="Times New Roman"/>
          <w:color w:val="1A1A1A"/>
          <w:sz w:val="24"/>
          <w:szCs w:val="24"/>
        </w:rPr>
        <w:t xml:space="preserve"> </w:t>
      </w:r>
      <w:r w:rsidR="00082D0E">
        <w:rPr>
          <w:rFonts w:ascii="Times New Roman" w:eastAsia="Times New Roman" w:hAnsi="Times New Roman" w:cs="Times New Roman"/>
          <w:color w:val="1A1A1A"/>
          <w:sz w:val="24"/>
          <w:szCs w:val="24"/>
        </w:rPr>
        <w:t>w</w:t>
      </w:r>
      <w:r>
        <w:rPr>
          <w:rFonts w:ascii="Times New Roman" w:eastAsia="Times New Roman" w:hAnsi="Times New Roman" w:cs="Times New Roman"/>
          <w:color w:val="1A1A1A"/>
          <w:sz w:val="24"/>
          <w:szCs w:val="24"/>
        </w:rPr>
        <w:t>hite students with similar characteristics between the beginning of kindergarten and the end of first grade.</w:t>
      </w:r>
      <w:r>
        <w:rPr>
          <w:rStyle w:val="FootnoteReference"/>
          <w:rFonts w:ascii="Times New Roman" w:eastAsia="Times New Roman" w:hAnsi="Times New Roman" w:cs="Times New Roman"/>
          <w:color w:val="1A1A1A"/>
          <w:sz w:val="24"/>
          <w:szCs w:val="24"/>
        </w:rPr>
        <w:footnoteReference w:id="41"/>
      </w:r>
      <w:r>
        <w:rPr>
          <w:rFonts w:ascii="Times New Roman" w:eastAsia="Times New Roman" w:hAnsi="Times New Roman" w:cs="Times New Roman"/>
          <w:color w:val="1A1A1A"/>
          <w:sz w:val="24"/>
          <w:szCs w:val="24"/>
        </w:rPr>
        <w:t xml:space="preserve"> Further, these differences tend to widen over time. These are likely the result of several factors. For instance, </w:t>
      </w:r>
      <w:r w:rsidR="00E43406">
        <w:rPr>
          <w:rFonts w:ascii="Times New Roman" w:eastAsia="Times New Roman" w:hAnsi="Times New Roman" w:cs="Times New Roman"/>
          <w:color w:val="1A1A1A"/>
          <w:sz w:val="24"/>
          <w:szCs w:val="24"/>
        </w:rPr>
        <w:t>b</w:t>
      </w:r>
      <w:r>
        <w:rPr>
          <w:rFonts w:ascii="Times New Roman" w:eastAsia="Times New Roman" w:hAnsi="Times New Roman" w:cs="Times New Roman"/>
          <w:color w:val="1A1A1A"/>
          <w:sz w:val="24"/>
          <w:szCs w:val="24"/>
        </w:rPr>
        <w:t xml:space="preserve">lack children may attend worse quality schools, </w:t>
      </w:r>
      <w:r w:rsidR="00E43406">
        <w:rPr>
          <w:rFonts w:ascii="Times New Roman" w:eastAsia="Times New Roman" w:hAnsi="Times New Roman" w:cs="Times New Roman"/>
          <w:color w:val="1A1A1A"/>
          <w:sz w:val="24"/>
          <w:szCs w:val="24"/>
        </w:rPr>
        <w:t xml:space="preserve">may </w:t>
      </w:r>
      <w:r>
        <w:rPr>
          <w:rFonts w:ascii="Times New Roman" w:eastAsia="Times New Roman" w:hAnsi="Times New Roman" w:cs="Times New Roman"/>
          <w:color w:val="1A1A1A"/>
          <w:sz w:val="24"/>
          <w:szCs w:val="24"/>
        </w:rPr>
        <w:t xml:space="preserve">receive less parental input or </w:t>
      </w:r>
      <w:r w:rsidR="00E43406">
        <w:rPr>
          <w:rFonts w:ascii="Times New Roman" w:eastAsia="Times New Roman" w:hAnsi="Times New Roman" w:cs="Times New Roman"/>
          <w:color w:val="1A1A1A"/>
          <w:sz w:val="24"/>
          <w:szCs w:val="24"/>
        </w:rPr>
        <w:t>may</w:t>
      </w:r>
      <w:r>
        <w:rPr>
          <w:rFonts w:ascii="Times New Roman" w:eastAsia="Times New Roman" w:hAnsi="Times New Roman" w:cs="Times New Roman"/>
          <w:color w:val="1A1A1A"/>
          <w:sz w:val="24"/>
          <w:szCs w:val="24"/>
        </w:rPr>
        <w:t xml:space="preserve"> have worse home and neighborhood environments. The paper suggests that the most likely explanation is that </w:t>
      </w:r>
      <w:r w:rsidR="00E43406">
        <w:rPr>
          <w:rFonts w:ascii="Times New Roman" w:eastAsia="Times New Roman" w:hAnsi="Times New Roman" w:cs="Times New Roman"/>
          <w:color w:val="1A1A1A"/>
          <w:sz w:val="24"/>
          <w:szCs w:val="24"/>
        </w:rPr>
        <w:t>b</w:t>
      </w:r>
      <w:r>
        <w:rPr>
          <w:rFonts w:ascii="Times New Roman" w:eastAsia="Times New Roman" w:hAnsi="Times New Roman" w:cs="Times New Roman"/>
          <w:color w:val="1A1A1A"/>
          <w:sz w:val="24"/>
          <w:szCs w:val="24"/>
        </w:rPr>
        <w:t>lack students attend worse schools on average. These differences in schools are not largely in terms of traditional measures, such as class si</w:t>
      </w:r>
      <w:r w:rsidR="00E43406">
        <w:rPr>
          <w:rFonts w:ascii="Times New Roman" w:eastAsia="Times New Roman" w:hAnsi="Times New Roman" w:cs="Times New Roman"/>
          <w:color w:val="1A1A1A"/>
          <w:sz w:val="24"/>
          <w:szCs w:val="24"/>
        </w:rPr>
        <w:t>ze, teacher education, and computer to</w:t>
      </w:r>
      <w:r>
        <w:rPr>
          <w:rFonts w:ascii="Times New Roman" w:eastAsia="Times New Roman" w:hAnsi="Times New Roman" w:cs="Times New Roman"/>
          <w:color w:val="1A1A1A"/>
          <w:sz w:val="24"/>
          <w:szCs w:val="24"/>
        </w:rPr>
        <w:t xml:space="preserve"> student ratios, but in terms of non-standard </w:t>
      </w:r>
      <w:r w:rsidR="0031492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inputs</w:t>
      </w:r>
      <w:r w:rsidR="0031492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r w:rsidR="00E43406">
        <w:rPr>
          <w:rFonts w:ascii="Times New Roman" w:eastAsia="Times New Roman" w:hAnsi="Times New Roman" w:cs="Times New Roman"/>
          <w:color w:val="1A1A1A"/>
          <w:sz w:val="24"/>
          <w:szCs w:val="24"/>
        </w:rPr>
        <w:t>including</w:t>
      </w:r>
      <w:r>
        <w:rPr>
          <w:rFonts w:ascii="Times New Roman" w:eastAsia="Times New Roman" w:hAnsi="Times New Roman" w:cs="Times New Roman"/>
          <w:color w:val="1A1A1A"/>
          <w:sz w:val="24"/>
          <w:szCs w:val="24"/>
        </w:rPr>
        <w:t xml:space="preserve"> gang problems in school</w:t>
      </w:r>
      <w:r w:rsidR="00E43406">
        <w:rPr>
          <w:rFonts w:ascii="Times New Roman" w:eastAsia="Times New Roman" w:hAnsi="Times New Roman" w:cs="Times New Roman"/>
          <w:color w:val="1A1A1A"/>
          <w:sz w:val="24"/>
          <w:szCs w:val="24"/>
        </w:rPr>
        <w:t xml:space="preserve"> and the</w:t>
      </w:r>
      <w:r>
        <w:rPr>
          <w:rFonts w:ascii="Times New Roman" w:eastAsia="Times New Roman" w:hAnsi="Times New Roman" w:cs="Times New Roman"/>
          <w:color w:val="1A1A1A"/>
          <w:sz w:val="24"/>
          <w:szCs w:val="24"/>
        </w:rPr>
        <w:t xml:space="preserve"> percent</w:t>
      </w:r>
      <w:r w:rsidR="00E43406">
        <w:rPr>
          <w:rFonts w:ascii="Times New Roman" w:eastAsia="Times New Roman" w:hAnsi="Times New Roman" w:cs="Times New Roman"/>
          <w:color w:val="1A1A1A"/>
          <w:sz w:val="24"/>
          <w:szCs w:val="24"/>
        </w:rPr>
        <w:t>age</w:t>
      </w:r>
      <w:r>
        <w:rPr>
          <w:rFonts w:ascii="Times New Roman" w:eastAsia="Times New Roman" w:hAnsi="Times New Roman" w:cs="Times New Roman"/>
          <w:color w:val="1A1A1A"/>
          <w:sz w:val="24"/>
          <w:szCs w:val="24"/>
        </w:rPr>
        <w:t xml:space="preserve"> of students </w:t>
      </w:r>
      <w:r w:rsidR="00E43406">
        <w:rPr>
          <w:rFonts w:ascii="Times New Roman" w:eastAsia="Times New Roman" w:hAnsi="Times New Roman" w:cs="Times New Roman"/>
          <w:color w:val="1A1A1A"/>
          <w:sz w:val="24"/>
          <w:szCs w:val="24"/>
        </w:rPr>
        <w:t>receiving free lunch.</w:t>
      </w:r>
    </w:p>
    <w:p w:rsidR="003A18FF" w:rsidRPr="00AC6069" w:rsidRDefault="003A18FF" w:rsidP="003A18FF">
      <w:pPr>
        <w:spacing w:after="0" w:line="360" w:lineRule="auto"/>
        <w:ind w:firstLine="720"/>
        <w:contextualSpacing/>
        <w:jc w:val="both"/>
        <w:rPr>
          <w:rFonts w:ascii="Times New Roman" w:eastAsia="Times New Roman" w:hAnsi="Times New Roman" w:cs="Times New Roman"/>
          <w:color w:val="1A1A1A"/>
          <w:sz w:val="24"/>
          <w:szCs w:val="24"/>
        </w:rPr>
      </w:pPr>
      <w:r w:rsidRPr="007A5A1A">
        <w:rPr>
          <w:rFonts w:ascii="Times New Roman" w:hAnsi="Times New Roman" w:cs="Times New Roman"/>
          <w:sz w:val="24"/>
          <w:szCs w:val="24"/>
        </w:rPr>
        <w:t xml:space="preserve">Low-income students drop out of high school at five times the rate of middle-income families and six times that of higher-income families, </w:t>
      </w:r>
      <w:r w:rsidRPr="007A5A1A">
        <w:rPr>
          <w:rFonts w:ascii="Times New Roman" w:eastAsia="Times New Roman" w:hAnsi="Times New Roman" w:cs="Times New Roman"/>
          <w:color w:val="1A1A1A"/>
          <w:sz w:val="24"/>
          <w:szCs w:val="24"/>
        </w:rPr>
        <w:t>according to the Department of Education</w:t>
      </w:r>
      <w:r w:rsidRPr="007A5A1A">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Pr="007A5A1A">
        <w:rPr>
          <w:rFonts w:ascii="Times New Roman" w:hAnsi="Times New Roman" w:cs="Times New Roman"/>
          <w:sz w:val="24"/>
          <w:szCs w:val="24"/>
        </w:rPr>
        <w:t xml:space="preserve">  </w:t>
      </w:r>
      <w:r w:rsidRPr="007A5A1A">
        <w:rPr>
          <w:rFonts w:ascii="Times New Roman" w:eastAsia="Times New Roman" w:hAnsi="Times New Roman" w:cs="Times New Roman"/>
          <w:color w:val="1A1A1A"/>
          <w:sz w:val="24"/>
          <w:szCs w:val="24"/>
        </w:rPr>
        <w:t>Over thirty percent of households headed by someone</w:t>
      </w:r>
      <w:r w:rsidR="00E86621">
        <w:rPr>
          <w:rFonts w:ascii="Times New Roman" w:eastAsia="Times New Roman" w:hAnsi="Times New Roman" w:cs="Times New Roman"/>
          <w:color w:val="1A1A1A"/>
          <w:sz w:val="24"/>
          <w:szCs w:val="24"/>
        </w:rPr>
        <w:t xml:space="preserve"> without a GED are impoverished</w:t>
      </w:r>
      <w:r w:rsidRPr="007A5A1A">
        <w:rPr>
          <w:rFonts w:ascii="Times New Roman" w:eastAsia="Times New Roman" w:hAnsi="Times New Roman" w:cs="Times New Roman"/>
          <w:color w:val="1A1A1A"/>
          <w:sz w:val="24"/>
          <w:szCs w:val="24"/>
        </w:rPr>
        <w:t xml:space="preserve"> compared to fewer than ten percent of households headed by someone with a GED or higher.</w:t>
      </w:r>
      <w:r>
        <w:rPr>
          <w:rStyle w:val="FootnoteReference"/>
          <w:rFonts w:ascii="Times New Roman" w:eastAsia="Times New Roman" w:hAnsi="Times New Roman" w:cs="Times New Roman"/>
          <w:color w:val="1A1A1A"/>
          <w:sz w:val="24"/>
          <w:szCs w:val="24"/>
        </w:rPr>
        <w:footnoteReference w:id="43"/>
      </w:r>
      <w:r w:rsidRPr="007A5A1A">
        <w:rPr>
          <w:rFonts w:ascii="Times New Roman" w:eastAsia="Times New Roman" w:hAnsi="Times New Roman" w:cs="Times New Roman"/>
          <w:color w:val="1A1A1A"/>
          <w:sz w:val="24"/>
          <w:szCs w:val="24"/>
        </w:rPr>
        <w:t xml:space="preserve"> </w:t>
      </w:r>
      <w:r w:rsidR="00E86621">
        <w:rPr>
          <w:rFonts w:ascii="Times New Roman" w:eastAsia="Times New Roman" w:hAnsi="Times New Roman" w:cs="Times New Roman"/>
          <w:color w:val="1A1A1A"/>
          <w:sz w:val="24"/>
          <w:szCs w:val="24"/>
        </w:rPr>
        <w:t xml:space="preserve">  Further, b</w:t>
      </w:r>
      <w:r>
        <w:rPr>
          <w:rFonts w:ascii="Times New Roman" w:eastAsia="Times New Roman" w:hAnsi="Times New Roman" w:cs="Times New Roman"/>
          <w:color w:val="1A1A1A"/>
          <w:sz w:val="24"/>
          <w:szCs w:val="24"/>
        </w:rPr>
        <w:t>lacks have a high school dropout rate that is double that of whites.</w:t>
      </w:r>
      <w:r>
        <w:rPr>
          <w:rStyle w:val="FootnoteReference"/>
          <w:rFonts w:ascii="Times New Roman" w:eastAsia="Times New Roman" w:hAnsi="Times New Roman" w:cs="Times New Roman"/>
          <w:color w:val="1A1A1A"/>
          <w:sz w:val="24"/>
          <w:szCs w:val="24"/>
        </w:rPr>
        <w:footnoteReference w:id="44"/>
      </w:r>
      <w:r>
        <w:rPr>
          <w:rFonts w:ascii="Times New Roman" w:eastAsia="Times New Roman" w:hAnsi="Times New Roman" w:cs="Times New Roman"/>
          <w:color w:val="1A1A1A"/>
          <w:sz w:val="24"/>
          <w:szCs w:val="24"/>
        </w:rPr>
        <w:t xml:space="preserve"> They also experience rates of poverty that are three times that of non-Hispanic </w:t>
      </w:r>
      <w:r w:rsidR="009D00B2">
        <w:rPr>
          <w:rFonts w:ascii="Times New Roman" w:eastAsia="Times New Roman" w:hAnsi="Times New Roman" w:cs="Times New Roman"/>
          <w:color w:val="1A1A1A"/>
          <w:sz w:val="24"/>
          <w:szCs w:val="24"/>
        </w:rPr>
        <w:t>white</w:t>
      </w:r>
      <w:r>
        <w:rPr>
          <w:rFonts w:ascii="Times New Roman" w:eastAsia="Times New Roman" w:hAnsi="Times New Roman" w:cs="Times New Roman"/>
          <w:color w:val="1A1A1A"/>
          <w:sz w:val="24"/>
          <w:szCs w:val="24"/>
        </w:rPr>
        <w:t>s.</w:t>
      </w:r>
      <w:r>
        <w:rPr>
          <w:rStyle w:val="FootnoteReference"/>
          <w:rFonts w:ascii="Times New Roman" w:eastAsia="Times New Roman" w:hAnsi="Times New Roman" w:cs="Times New Roman"/>
          <w:color w:val="1A1A1A"/>
          <w:sz w:val="24"/>
          <w:szCs w:val="24"/>
        </w:rPr>
        <w:footnoteReference w:id="45"/>
      </w:r>
    </w:p>
    <w:p w:rsidR="003A18FF" w:rsidRDefault="003A18FF" w:rsidP="003A18FF">
      <w:pPr>
        <w:spacing w:after="0" w:line="360" w:lineRule="auto"/>
        <w:ind w:firstLine="720"/>
        <w:contextualSpacing/>
        <w:jc w:val="both"/>
        <w:rPr>
          <w:rFonts w:ascii="Times New Roman" w:eastAsia="Times New Roman" w:hAnsi="Times New Roman" w:cs="Times New Roman"/>
          <w:color w:val="1A1A1A"/>
          <w:sz w:val="24"/>
          <w:szCs w:val="24"/>
        </w:rPr>
      </w:pPr>
      <w:r w:rsidRPr="007A5A1A">
        <w:rPr>
          <w:rFonts w:ascii="Times New Roman" w:eastAsia="Times New Roman" w:hAnsi="Times New Roman" w:cs="Times New Roman"/>
          <w:color w:val="1A1A1A"/>
          <w:sz w:val="24"/>
          <w:szCs w:val="24"/>
        </w:rPr>
        <w:lastRenderedPageBreak/>
        <w:t xml:space="preserve">To increase </w:t>
      </w:r>
      <w:r>
        <w:rPr>
          <w:rFonts w:ascii="Times New Roman" w:eastAsia="Times New Roman" w:hAnsi="Times New Roman" w:cs="Times New Roman"/>
          <w:color w:val="1A1A1A"/>
          <w:sz w:val="24"/>
          <w:szCs w:val="24"/>
        </w:rPr>
        <w:t xml:space="preserve">high school </w:t>
      </w:r>
      <w:r w:rsidRPr="007A5A1A">
        <w:rPr>
          <w:rFonts w:ascii="Times New Roman" w:eastAsia="Times New Roman" w:hAnsi="Times New Roman" w:cs="Times New Roman"/>
          <w:color w:val="1A1A1A"/>
          <w:sz w:val="24"/>
          <w:szCs w:val="24"/>
        </w:rPr>
        <w:t>graduation rates, the Brookings Hamilton Project has proposed a law requiring students to complete high school.</w:t>
      </w:r>
      <w:r>
        <w:rPr>
          <w:rStyle w:val="FootnoteReference"/>
          <w:rFonts w:ascii="Times New Roman" w:eastAsia="Times New Roman" w:hAnsi="Times New Roman" w:cs="Times New Roman"/>
          <w:color w:val="1A1A1A"/>
          <w:sz w:val="24"/>
          <w:szCs w:val="24"/>
        </w:rPr>
        <w:footnoteReference w:id="46"/>
      </w:r>
      <w:r w:rsidRPr="007A5A1A">
        <w:rPr>
          <w:rFonts w:ascii="Times New Roman" w:eastAsia="Times New Roman" w:hAnsi="Times New Roman" w:cs="Times New Roman"/>
          <w:color w:val="1A1A1A"/>
          <w:sz w:val="24"/>
          <w:szCs w:val="24"/>
        </w:rPr>
        <w:t xml:space="preserve"> Currently, states require students legally to stay in school through 10</w:t>
      </w:r>
      <w:r>
        <w:rPr>
          <w:rFonts w:ascii="Times New Roman" w:eastAsia="Times New Roman" w:hAnsi="Times New Roman" w:cs="Times New Roman"/>
          <w:color w:val="1A1A1A"/>
          <w:sz w:val="24"/>
          <w:szCs w:val="24"/>
          <w:vertAlign w:val="superscript"/>
        </w:rPr>
        <w:t>th</w:t>
      </w:r>
      <w:r w:rsidR="00603815">
        <w:rPr>
          <w:rFonts w:ascii="Times New Roman" w:eastAsia="Times New Roman" w:hAnsi="Times New Roman" w:cs="Times New Roman"/>
          <w:color w:val="1A1A1A"/>
          <w:sz w:val="24"/>
          <w:szCs w:val="24"/>
        </w:rPr>
        <w:t xml:space="preserve"> grade; the proposal</w:t>
      </w:r>
      <w:r w:rsidRPr="007A5A1A">
        <w:rPr>
          <w:rFonts w:ascii="Times New Roman" w:eastAsia="Times New Roman" w:hAnsi="Times New Roman" w:cs="Times New Roman"/>
          <w:color w:val="1A1A1A"/>
          <w:sz w:val="24"/>
          <w:szCs w:val="24"/>
        </w:rPr>
        <w:t xml:space="preserve"> would simply extend this requirement through 12</w:t>
      </w:r>
      <w:r>
        <w:rPr>
          <w:rFonts w:ascii="Times New Roman" w:eastAsia="Times New Roman" w:hAnsi="Times New Roman" w:cs="Times New Roman"/>
          <w:color w:val="1A1A1A"/>
          <w:sz w:val="24"/>
          <w:szCs w:val="24"/>
          <w:vertAlign w:val="superscript"/>
        </w:rPr>
        <w:t>th</w:t>
      </w:r>
      <w:r w:rsidRPr="007A5A1A">
        <w:rPr>
          <w:rFonts w:ascii="Times New Roman" w:eastAsia="Times New Roman" w:hAnsi="Times New Roman" w:cs="Times New Roman"/>
          <w:color w:val="1A1A1A"/>
          <w:sz w:val="24"/>
          <w:szCs w:val="24"/>
        </w:rPr>
        <w:t xml:space="preserve"> grade.  But enforcement for these policies is mixed, ranging from no punishment (Maine), sending a notice to parents (Oregon), a misdemeanor (Minnesota, Mississippi), a </w:t>
      </w:r>
      <w:r w:rsidR="00603815">
        <w:rPr>
          <w:rFonts w:ascii="Times New Roman" w:eastAsia="Times New Roman" w:hAnsi="Times New Roman" w:cs="Times New Roman"/>
          <w:color w:val="1A1A1A"/>
          <w:sz w:val="24"/>
          <w:szCs w:val="24"/>
        </w:rPr>
        <w:t>parental</w:t>
      </w:r>
      <w:r w:rsidRPr="007A5A1A">
        <w:rPr>
          <w:rFonts w:ascii="Times New Roman" w:eastAsia="Times New Roman" w:hAnsi="Times New Roman" w:cs="Times New Roman"/>
          <w:color w:val="1A1A1A"/>
          <w:sz w:val="24"/>
          <w:szCs w:val="24"/>
        </w:rPr>
        <w:t xml:space="preserve"> fine </w:t>
      </w:r>
      <w:r w:rsidR="00603815">
        <w:rPr>
          <w:rFonts w:ascii="Times New Roman" w:eastAsia="Times New Roman" w:hAnsi="Times New Roman" w:cs="Times New Roman"/>
          <w:color w:val="1A1A1A"/>
          <w:sz w:val="24"/>
          <w:szCs w:val="24"/>
        </w:rPr>
        <w:t>of $500</w:t>
      </w:r>
      <w:r w:rsidRPr="007A5A1A">
        <w:rPr>
          <w:rFonts w:ascii="Times New Roman" w:eastAsia="Times New Roman" w:hAnsi="Times New Roman" w:cs="Times New Roman"/>
          <w:color w:val="1A1A1A"/>
          <w:sz w:val="24"/>
          <w:szCs w:val="24"/>
        </w:rPr>
        <w:t xml:space="preserve"> (Arkansas), or imprisonment.  Many of these punishments are likely too small to keep a student in school, especially if the family is disengaged.</w:t>
      </w:r>
      <w:r>
        <w:rPr>
          <w:rFonts w:ascii="Times New Roman" w:eastAsia="Times New Roman" w:hAnsi="Times New Roman" w:cs="Times New Roman"/>
          <w:color w:val="1A1A1A"/>
          <w:sz w:val="24"/>
          <w:szCs w:val="24"/>
        </w:rPr>
        <w:t xml:space="preserve"> Therefore, expanding the law without realigning incentives is unlikely to increase graduation rates.</w:t>
      </w:r>
    </w:p>
    <w:p w:rsidR="003A18FF" w:rsidRPr="00617196" w:rsidRDefault="003A18FF" w:rsidP="003A18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a minimum, </w:t>
      </w:r>
      <w:r w:rsidRPr="00ED6290" w:rsidDel="001E6CBD">
        <w:rPr>
          <w:rFonts w:ascii="Times New Roman" w:hAnsi="Times New Roman" w:cs="Times New Roman"/>
          <w:sz w:val="24"/>
          <w:szCs w:val="24"/>
        </w:rPr>
        <w:t xml:space="preserve">TANF programs </w:t>
      </w:r>
      <w:r>
        <w:rPr>
          <w:rFonts w:ascii="Times New Roman" w:hAnsi="Times New Roman" w:cs="Times New Roman"/>
          <w:sz w:val="24"/>
          <w:szCs w:val="24"/>
        </w:rPr>
        <w:t xml:space="preserve">in all states should impose an eligibility </w:t>
      </w:r>
      <w:r w:rsidRPr="00ED6290" w:rsidDel="001E6CBD">
        <w:rPr>
          <w:rFonts w:ascii="Times New Roman" w:hAnsi="Times New Roman" w:cs="Times New Roman"/>
          <w:sz w:val="24"/>
          <w:szCs w:val="24"/>
        </w:rPr>
        <w:t xml:space="preserve">requirement that school age dependents be enrolled in school. </w:t>
      </w:r>
      <w:r>
        <w:rPr>
          <w:rFonts w:ascii="Times New Roman" w:hAnsi="Times New Roman" w:cs="Times New Roman"/>
          <w:sz w:val="24"/>
          <w:szCs w:val="24"/>
        </w:rPr>
        <w:t>This would likely be a significant incentive for parents on welfare to ens</w:t>
      </w:r>
      <w:r w:rsidR="00603815">
        <w:rPr>
          <w:rFonts w:ascii="Times New Roman" w:hAnsi="Times New Roman" w:cs="Times New Roman"/>
          <w:sz w:val="24"/>
          <w:szCs w:val="24"/>
        </w:rPr>
        <w:t>ure their children go to school</w:t>
      </w:r>
      <w:r>
        <w:rPr>
          <w:rFonts w:ascii="Times New Roman" w:hAnsi="Times New Roman" w:cs="Times New Roman"/>
          <w:sz w:val="24"/>
          <w:szCs w:val="24"/>
        </w:rPr>
        <w:t xml:space="preserve"> since there are thousands of dollars on the line. </w:t>
      </w:r>
      <w:r w:rsidRPr="00617196">
        <w:rPr>
          <w:rFonts w:ascii="Times New Roman" w:hAnsi="Times New Roman" w:cs="Times New Roman"/>
          <w:sz w:val="24"/>
          <w:szCs w:val="24"/>
        </w:rPr>
        <w:t xml:space="preserve">For example, </w:t>
      </w:r>
      <w:r>
        <w:rPr>
          <w:rFonts w:ascii="Times New Roman" w:hAnsi="Times New Roman" w:cs="Times New Roman"/>
          <w:sz w:val="24"/>
          <w:szCs w:val="24"/>
        </w:rPr>
        <w:t>one</w:t>
      </w:r>
      <w:r w:rsidRPr="00617196">
        <w:rPr>
          <w:rFonts w:ascii="Times New Roman" w:hAnsi="Times New Roman" w:cs="Times New Roman"/>
          <w:sz w:val="24"/>
          <w:szCs w:val="24"/>
        </w:rPr>
        <w:t xml:space="preserve"> interesting study evaluated the impact of Wisconsin’s </w:t>
      </w:r>
      <w:proofErr w:type="spellStart"/>
      <w:r w:rsidRPr="00617196">
        <w:rPr>
          <w:rFonts w:ascii="Times New Roman" w:hAnsi="Times New Roman" w:cs="Times New Roman"/>
          <w:sz w:val="24"/>
          <w:szCs w:val="24"/>
        </w:rPr>
        <w:t>Learnfare</w:t>
      </w:r>
      <w:proofErr w:type="spellEnd"/>
      <w:r w:rsidRPr="00617196">
        <w:rPr>
          <w:rFonts w:ascii="Times New Roman" w:hAnsi="Times New Roman" w:cs="Times New Roman"/>
          <w:sz w:val="24"/>
          <w:szCs w:val="24"/>
        </w:rPr>
        <w:t xml:space="preserve"> program, a welfare waiver program that sanctioned the welfare benefits of families whose teenage children did not meet school attendance requirements. Dee</w:t>
      </w:r>
      <w:r w:rsidR="00431A31">
        <w:rPr>
          <w:rFonts w:ascii="Times New Roman" w:hAnsi="Times New Roman" w:cs="Times New Roman"/>
          <w:sz w:val="24"/>
          <w:szCs w:val="24"/>
        </w:rPr>
        <w:t xml:space="preserve"> (2011)</w:t>
      </w:r>
      <w:r w:rsidRPr="00617196">
        <w:rPr>
          <w:rFonts w:ascii="Times New Roman" w:hAnsi="Times New Roman" w:cs="Times New Roman"/>
          <w:sz w:val="24"/>
          <w:szCs w:val="24"/>
        </w:rPr>
        <w:t xml:space="preserve"> f</w:t>
      </w:r>
      <w:r>
        <w:rPr>
          <w:rFonts w:ascii="Times New Roman" w:hAnsi="Times New Roman" w:cs="Times New Roman"/>
          <w:sz w:val="24"/>
          <w:szCs w:val="24"/>
        </w:rPr>
        <w:t>ound</w:t>
      </w:r>
      <w:r w:rsidRPr="00617196">
        <w:rPr>
          <w:rFonts w:ascii="Times New Roman" w:hAnsi="Times New Roman" w:cs="Times New Roman"/>
          <w:sz w:val="24"/>
          <w:szCs w:val="24"/>
        </w:rPr>
        <w:t xml:space="preserve"> that </w:t>
      </w:r>
      <w:proofErr w:type="spellStart"/>
      <w:r w:rsidRPr="00617196">
        <w:rPr>
          <w:rFonts w:ascii="Times New Roman" w:hAnsi="Times New Roman" w:cs="Times New Roman"/>
          <w:sz w:val="24"/>
          <w:szCs w:val="24"/>
        </w:rPr>
        <w:t>Learnfare</w:t>
      </w:r>
      <w:proofErr w:type="spellEnd"/>
      <w:r w:rsidRPr="00617196">
        <w:rPr>
          <w:rFonts w:ascii="Times New Roman" w:hAnsi="Times New Roman" w:cs="Times New Roman"/>
          <w:sz w:val="24"/>
          <w:szCs w:val="24"/>
        </w:rPr>
        <w:t xml:space="preserve"> was extremely successful at targeting at-risk students and promoting school attendance among this group.</w:t>
      </w:r>
      <w:r w:rsidR="00603815">
        <w:rPr>
          <w:rStyle w:val="FootnoteReference"/>
          <w:rFonts w:ascii="Times New Roman" w:hAnsi="Times New Roman" w:cs="Times New Roman"/>
          <w:sz w:val="24"/>
          <w:szCs w:val="24"/>
        </w:rPr>
        <w:footnoteReference w:id="47"/>
      </w:r>
      <w:r w:rsidRPr="00617196">
        <w:rPr>
          <w:rFonts w:ascii="Times New Roman" w:hAnsi="Times New Roman" w:cs="Times New Roman"/>
          <w:sz w:val="24"/>
          <w:szCs w:val="24"/>
        </w:rPr>
        <w:t xml:space="preserve"> </w:t>
      </w:r>
      <w:r>
        <w:rPr>
          <w:rFonts w:ascii="Times New Roman" w:hAnsi="Times New Roman" w:cs="Times New Roman"/>
          <w:sz w:val="24"/>
          <w:szCs w:val="24"/>
        </w:rPr>
        <w:t>My</w:t>
      </w:r>
      <w:r w:rsidRPr="00617196">
        <w:rPr>
          <w:rFonts w:ascii="Times New Roman" w:hAnsi="Times New Roman" w:cs="Times New Roman"/>
          <w:sz w:val="24"/>
          <w:szCs w:val="24"/>
        </w:rPr>
        <w:t xml:space="preserve"> policy suggestion is along the same lines. Currently, 15 states do not require dependents to be enrolled in school when their families are receiving TANF payments. We</w:t>
      </w:r>
      <w:r>
        <w:rPr>
          <w:rFonts w:ascii="Times New Roman" w:hAnsi="Times New Roman" w:cs="Times New Roman"/>
          <w:sz w:val="24"/>
          <w:szCs w:val="24"/>
        </w:rPr>
        <w:t xml:space="preserve"> should make</w:t>
      </w:r>
      <w:r w:rsidRPr="00617196">
        <w:rPr>
          <w:rFonts w:ascii="Times New Roman" w:hAnsi="Times New Roman" w:cs="Times New Roman"/>
          <w:sz w:val="24"/>
          <w:szCs w:val="24"/>
        </w:rPr>
        <w:t xml:space="preserve"> this a priority. </w:t>
      </w:r>
    </w:p>
    <w:p w:rsidR="003A18FF" w:rsidRPr="006B0D5E" w:rsidRDefault="003A18FF" w:rsidP="003A18FF">
      <w:pPr>
        <w:pStyle w:val="FootnoteText"/>
        <w:spacing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In my </w:t>
      </w:r>
      <w:r w:rsidR="00E14F79">
        <w:rPr>
          <w:rFonts w:ascii="Times New Roman" w:eastAsia="Times New Roman" w:hAnsi="Times New Roman" w:cs="Times New Roman"/>
          <w:color w:val="1A1A1A"/>
          <w:sz w:val="24"/>
          <w:szCs w:val="24"/>
        </w:rPr>
        <w:t xml:space="preserve">aforementioned </w:t>
      </w:r>
      <w:r>
        <w:rPr>
          <w:rFonts w:ascii="Times New Roman" w:eastAsia="Times New Roman" w:hAnsi="Times New Roman" w:cs="Times New Roman"/>
          <w:color w:val="1A1A1A"/>
          <w:sz w:val="24"/>
          <w:szCs w:val="24"/>
        </w:rPr>
        <w:t>study with Abby McCloskey, w</w:t>
      </w:r>
      <w:r w:rsidRPr="007A5A1A">
        <w:rPr>
          <w:rFonts w:ascii="Times New Roman" w:eastAsia="Times New Roman" w:hAnsi="Times New Roman" w:cs="Times New Roman"/>
          <w:color w:val="1A1A1A"/>
          <w:sz w:val="24"/>
          <w:szCs w:val="24"/>
        </w:rPr>
        <w:t>e propose a “milestone” credit, wherein low-income teenagers receive a cash bonus upon receiving their high school diploma to realign their incen</w:t>
      </w:r>
      <w:r>
        <w:rPr>
          <w:rFonts w:ascii="Times New Roman" w:eastAsia="Times New Roman" w:hAnsi="Times New Roman" w:cs="Times New Roman"/>
          <w:color w:val="1A1A1A"/>
          <w:sz w:val="24"/>
          <w:szCs w:val="24"/>
        </w:rPr>
        <w:t>tives to stay in school.  There i</w:t>
      </w:r>
      <w:r w:rsidRPr="007A5A1A">
        <w:rPr>
          <w:rFonts w:ascii="Times New Roman" w:eastAsia="Times New Roman" w:hAnsi="Times New Roman" w:cs="Times New Roman"/>
          <w:color w:val="1A1A1A"/>
          <w:sz w:val="24"/>
          <w:szCs w:val="24"/>
        </w:rPr>
        <w:t xml:space="preserve">s a growing body of research on using financial incentives to motivate educational goals.  </w:t>
      </w:r>
      <w:r w:rsidRPr="007A5A1A">
        <w:rPr>
          <w:rFonts w:ascii="Times New Roman" w:eastAsia="Times New Roman" w:hAnsi="Times New Roman" w:cs="Times New Roman"/>
          <w:sz w:val="24"/>
          <w:szCs w:val="24"/>
        </w:rPr>
        <w:t>The Accelerated Study in Associate Programs (ASAP) granted full tuition waver for full-time college at the City University of New York</w:t>
      </w:r>
      <w:r>
        <w:rPr>
          <w:rFonts w:ascii="Times New Roman" w:eastAsia="Times New Roman" w:hAnsi="Times New Roman" w:cs="Times New Roman"/>
          <w:sz w:val="24"/>
          <w:szCs w:val="24"/>
        </w:rPr>
        <w:t>, which was found to increase</w:t>
      </w:r>
      <w:r w:rsidRPr="007A5A1A">
        <w:rPr>
          <w:rFonts w:ascii="Times New Roman" w:eastAsia="Times New Roman" w:hAnsi="Times New Roman" w:cs="Times New Roman"/>
          <w:sz w:val="24"/>
          <w:szCs w:val="24"/>
        </w:rPr>
        <w:t xml:space="preserve"> graduation rates.</w:t>
      </w:r>
      <w:r>
        <w:rPr>
          <w:rStyle w:val="FootnoteReference"/>
          <w:rFonts w:ascii="Times New Roman" w:eastAsia="Times New Roman" w:hAnsi="Times New Roman" w:cs="Times New Roman"/>
          <w:sz w:val="24"/>
          <w:szCs w:val="24"/>
        </w:rPr>
        <w:footnoteReference w:id="48"/>
      </w:r>
      <w:r w:rsidRPr="007A5A1A">
        <w:rPr>
          <w:rFonts w:ascii="Times New Roman" w:eastAsia="Times New Roman" w:hAnsi="Times New Roman" w:cs="Times New Roman"/>
          <w:sz w:val="24"/>
          <w:szCs w:val="24"/>
        </w:rPr>
        <w:t xml:space="preserve">  </w:t>
      </w:r>
      <w:r w:rsidRPr="007A5A1A">
        <w:rPr>
          <w:rFonts w:ascii="Times New Roman" w:eastAsia="Times New Roman" w:hAnsi="Times New Roman" w:cs="Times New Roman"/>
          <w:color w:val="1A1A1A"/>
          <w:sz w:val="24"/>
          <w:szCs w:val="24"/>
        </w:rPr>
        <w:t xml:space="preserve">Roland Fryer of Harvard has found that financial </w:t>
      </w:r>
      <w:r w:rsidRPr="007A5A1A">
        <w:rPr>
          <w:rFonts w:ascii="Times New Roman" w:eastAsia="Times New Roman" w:hAnsi="Times New Roman" w:cs="Times New Roman"/>
          <w:sz w:val="24"/>
          <w:szCs w:val="24"/>
        </w:rPr>
        <w:t>incentives can be a “cost-effective strategy for raising achievement among even the poorest minority students in the lowest-performing schools” if properly structured.</w:t>
      </w:r>
      <w:r>
        <w:rPr>
          <w:rStyle w:val="FootnoteReference"/>
          <w:rFonts w:ascii="Times New Roman" w:eastAsia="Times New Roman" w:hAnsi="Times New Roman" w:cs="Times New Roman"/>
          <w:sz w:val="24"/>
          <w:szCs w:val="24"/>
        </w:rPr>
        <w:footnoteReference w:id="49"/>
      </w:r>
      <w:r w:rsidRPr="007A5A1A">
        <w:rPr>
          <w:rFonts w:ascii="Times New Roman" w:eastAsia="Times New Roman" w:hAnsi="Times New Roman" w:cs="Times New Roman"/>
          <w:sz w:val="24"/>
          <w:szCs w:val="24"/>
        </w:rPr>
        <w:t xml:space="preserve">  </w:t>
      </w:r>
      <w:r w:rsidRPr="007A5A1A">
        <w:rPr>
          <w:rFonts w:ascii="Times New Roman" w:hAnsi="Times New Roman" w:cs="Times New Roman"/>
          <w:color w:val="000000" w:themeColor="text1"/>
          <w:sz w:val="24"/>
          <w:szCs w:val="24"/>
        </w:rPr>
        <w:t xml:space="preserve">Fryer’s research shows that </w:t>
      </w:r>
      <w:r w:rsidRPr="007A5A1A">
        <w:rPr>
          <w:rFonts w:ascii="Times New Roman" w:hAnsi="Times New Roman" w:cs="Times New Roman"/>
          <w:color w:val="000000" w:themeColor="text1"/>
          <w:sz w:val="24"/>
          <w:szCs w:val="24"/>
        </w:rPr>
        <w:lastRenderedPageBreak/>
        <w:t>payments for inputs – like reading books – are more effective than payments for perfo</w:t>
      </w:r>
      <w:r w:rsidR="00D6369B">
        <w:rPr>
          <w:rFonts w:ascii="Times New Roman" w:hAnsi="Times New Roman" w:cs="Times New Roman"/>
          <w:color w:val="000000" w:themeColor="text1"/>
          <w:sz w:val="24"/>
          <w:szCs w:val="24"/>
        </w:rPr>
        <w:t>rmance – like tests or grades.</w:t>
      </w:r>
      <w:r w:rsidR="00D6369B">
        <w:rPr>
          <w:rStyle w:val="FootnoteReference"/>
          <w:rFonts w:ascii="Times New Roman" w:hAnsi="Times New Roman" w:cs="Times New Roman"/>
          <w:color w:val="000000" w:themeColor="text1"/>
          <w:sz w:val="24"/>
          <w:szCs w:val="24"/>
        </w:rPr>
        <w:footnoteReference w:id="50"/>
      </w:r>
    </w:p>
    <w:p w:rsidR="003A18FF" w:rsidRDefault="003A18FF" w:rsidP="003A18FF">
      <w:pPr>
        <w:pStyle w:val="FootnoteText"/>
        <w:spacing w:line="360" w:lineRule="auto"/>
        <w:ind w:firstLine="720"/>
        <w:contextualSpacing/>
        <w:jc w:val="both"/>
        <w:rPr>
          <w:rFonts w:ascii="Times New Roman" w:eastAsia="Times New Roman" w:hAnsi="Times New Roman" w:cs="Times New Roman"/>
          <w:color w:val="1A1A1A"/>
          <w:sz w:val="24"/>
          <w:szCs w:val="24"/>
        </w:rPr>
      </w:pPr>
      <w:r>
        <w:rPr>
          <w:rFonts w:ascii="Times New Roman" w:hAnsi="Times New Roman" w:cs="Times New Roman"/>
          <w:color w:val="000000" w:themeColor="text1"/>
          <w:sz w:val="24"/>
          <w:szCs w:val="24"/>
        </w:rPr>
        <w:t xml:space="preserve">The “milestone credit” should begin as a pilot program, to test its efficacy on improving graduation rates, the size of the credit required, and the impact on lifetime earnings. To our knowledge, such a pilot program has not been tried.  The cost-effectiveness of the program on a larger scale would depend on the ability of policymakers to target areas with high dropout rates.  </w:t>
      </w:r>
      <w:r>
        <w:rPr>
          <w:rFonts w:ascii="Times New Roman" w:hAnsi="Times New Roman" w:cs="Times New Roman"/>
          <w:sz w:val="24"/>
          <w:szCs w:val="24"/>
        </w:rPr>
        <w:t xml:space="preserve">To </w:t>
      </w:r>
      <w:r w:rsidRPr="007A5A1A">
        <w:rPr>
          <w:rFonts w:ascii="Times New Roman" w:eastAsia="Times New Roman" w:hAnsi="Times New Roman" w:cs="Times New Roman"/>
          <w:color w:val="1A1A1A"/>
          <w:sz w:val="24"/>
          <w:szCs w:val="24"/>
        </w:rPr>
        <w:t xml:space="preserve">encourage learning beyond high school, the </w:t>
      </w:r>
      <w:r>
        <w:rPr>
          <w:rFonts w:ascii="Times New Roman" w:eastAsia="Times New Roman" w:hAnsi="Times New Roman" w:cs="Times New Roman"/>
          <w:color w:val="1A1A1A"/>
          <w:sz w:val="24"/>
          <w:szCs w:val="24"/>
        </w:rPr>
        <w:t>“</w:t>
      </w:r>
      <w:r w:rsidRPr="007A5A1A">
        <w:rPr>
          <w:rFonts w:ascii="Times New Roman" w:eastAsia="Times New Roman" w:hAnsi="Times New Roman" w:cs="Times New Roman"/>
          <w:color w:val="1A1A1A"/>
          <w:sz w:val="24"/>
          <w:szCs w:val="24"/>
        </w:rPr>
        <w:t>milestone credit</w:t>
      </w:r>
      <w:r>
        <w:rPr>
          <w:rFonts w:ascii="Times New Roman" w:eastAsia="Times New Roman" w:hAnsi="Times New Roman" w:cs="Times New Roman"/>
          <w:color w:val="1A1A1A"/>
          <w:sz w:val="24"/>
          <w:szCs w:val="24"/>
        </w:rPr>
        <w:t>”</w:t>
      </w:r>
      <w:r w:rsidRPr="007A5A1A">
        <w:rPr>
          <w:rFonts w:ascii="Times New Roman" w:eastAsia="Times New Roman" w:hAnsi="Times New Roman" w:cs="Times New Roman"/>
          <w:color w:val="1A1A1A"/>
          <w:sz w:val="24"/>
          <w:szCs w:val="24"/>
        </w:rPr>
        <w:t xml:space="preserve"> could be increased if the student </w:t>
      </w:r>
      <w:r>
        <w:rPr>
          <w:rFonts w:ascii="Times New Roman" w:eastAsia="Times New Roman" w:hAnsi="Times New Roman" w:cs="Times New Roman"/>
          <w:color w:val="1A1A1A"/>
          <w:sz w:val="24"/>
          <w:szCs w:val="24"/>
        </w:rPr>
        <w:t>goes on to technical school or college. </w:t>
      </w:r>
      <w:r w:rsidRPr="007A5A1A">
        <w:rPr>
          <w:rFonts w:ascii="Times New Roman" w:eastAsia="Times New Roman" w:hAnsi="Times New Roman" w:cs="Times New Roman"/>
          <w:color w:val="1A1A1A"/>
          <w:sz w:val="24"/>
          <w:szCs w:val="24"/>
        </w:rPr>
        <w:t xml:space="preserve"> </w:t>
      </w:r>
    </w:p>
    <w:p w:rsidR="003A18FF" w:rsidRPr="00AC6069" w:rsidRDefault="003A18FF" w:rsidP="003A18FF">
      <w:pPr>
        <w:pStyle w:val="FootnoteText"/>
        <w:spacing w:line="36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color w:val="1A1A1A"/>
          <w:sz w:val="24"/>
          <w:szCs w:val="24"/>
        </w:rPr>
        <w:t>Beyond high school,</w:t>
      </w:r>
      <w:r w:rsidRPr="00E877D5">
        <w:rPr>
          <w:rFonts w:ascii="Times New Roman" w:eastAsia="Times New Roman" w:hAnsi="Times New Roman" w:cs="Times New Roman"/>
          <w:color w:val="1A1A1A"/>
          <w:sz w:val="24"/>
          <w:szCs w:val="24"/>
        </w:rPr>
        <w:t xml:space="preserve"> many low-income individuals are unlikely to pursue a college degree because they do not have enough information about</w:t>
      </w:r>
      <w:r w:rsidR="000D34CF">
        <w:rPr>
          <w:rFonts w:ascii="Times New Roman" w:eastAsia="Times New Roman" w:hAnsi="Times New Roman" w:cs="Times New Roman"/>
          <w:color w:val="1A1A1A"/>
          <w:sz w:val="24"/>
          <w:szCs w:val="24"/>
        </w:rPr>
        <w:t xml:space="preserve"> the federal Pell Grant program, </w:t>
      </w:r>
      <w:r w:rsidRPr="00E877D5">
        <w:rPr>
          <w:rFonts w:ascii="Times New Roman" w:eastAsia="Times New Roman" w:hAnsi="Times New Roman" w:cs="Times New Roman"/>
          <w:color w:val="1A1A1A"/>
          <w:sz w:val="24"/>
          <w:szCs w:val="24"/>
        </w:rPr>
        <w:t>how much the grant is likely to be and whether they will be able to pay for it (Avery and Kane, 2004).</w:t>
      </w:r>
      <w:r w:rsidRPr="00AC6069">
        <w:rPr>
          <w:rStyle w:val="FootnoteReference"/>
          <w:rFonts w:ascii="Times New Roman" w:eastAsia="Times New Roman" w:hAnsi="Times New Roman" w:cs="Times New Roman"/>
          <w:color w:val="1A1A1A"/>
          <w:sz w:val="24"/>
          <w:szCs w:val="24"/>
        </w:rPr>
        <w:footnoteReference w:id="51"/>
      </w:r>
      <w:r w:rsidRPr="00AC6069">
        <w:rPr>
          <w:rFonts w:ascii="Times New Roman" w:eastAsia="Times New Roman" w:hAnsi="Times New Roman" w:cs="Times New Roman"/>
          <w:color w:val="1A1A1A"/>
          <w:sz w:val="24"/>
          <w:szCs w:val="24"/>
        </w:rPr>
        <w:t xml:space="preserve"> These compliance costs fall most heavily on low-income individuals whi</w:t>
      </w:r>
      <w:r w:rsidR="000D34CF">
        <w:rPr>
          <w:rFonts w:ascii="Times New Roman" w:eastAsia="Times New Roman" w:hAnsi="Times New Roman" w:cs="Times New Roman"/>
          <w:color w:val="1A1A1A"/>
          <w:sz w:val="24"/>
          <w:szCs w:val="24"/>
        </w:rPr>
        <w:t>ch may deter them from applying</w:t>
      </w:r>
      <w:r w:rsidRPr="00AC6069">
        <w:rPr>
          <w:rFonts w:ascii="Times New Roman" w:eastAsia="Times New Roman" w:hAnsi="Times New Roman" w:cs="Times New Roman"/>
          <w:color w:val="1A1A1A"/>
          <w:sz w:val="24"/>
          <w:szCs w:val="24"/>
        </w:rPr>
        <w:t xml:space="preserve"> since the benefits are uncertain. </w:t>
      </w:r>
      <w:r w:rsidRPr="00E877D5">
        <w:rPr>
          <w:rFonts w:ascii="Times New Roman" w:eastAsia="Times New Roman" w:hAnsi="Times New Roman" w:cs="Times New Roman"/>
          <w:color w:val="1A1A1A"/>
          <w:sz w:val="24"/>
          <w:szCs w:val="24"/>
        </w:rPr>
        <w:t xml:space="preserve">Simplifying the application process could reduce costs and improve </w:t>
      </w:r>
      <w:r w:rsidR="000D34CF">
        <w:rPr>
          <w:rFonts w:ascii="Times New Roman" w:eastAsia="Times New Roman" w:hAnsi="Times New Roman" w:cs="Times New Roman"/>
          <w:color w:val="1A1A1A"/>
          <w:sz w:val="24"/>
          <w:szCs w:val="24"/>
        </w:rPr>
        <w:t xml:space="preserve">the </w:t>
      </w:r>
      <w:r w:rsidRPr="00E877D5">
        <w:rPr>
          <w:rFonts w:ascii="Times New Roman" w:eastAsia="Times New Roman" w:hAnsi="Times New Roman" w:cs="Times New Roman"/>
          <w:color w:val="1A1A1A"/>
          <w:sz w:val="24"/>
          <w:szCs w:val="24"/>
        </w:rPr>
        <w:t xml:space="preserve">efficiency of the program. </w:t>
      </w:r>
    </w:p>
    <w:p w:rsidR="003A18FF" w:rsidRDefault="003A18FF" w:rsidP="003A18FF">
      <w:pPr>
        <w:pStyle w:val="FootnoteText"/>
        <w:spacing w:line="360" w:lineRule="auto"/>
        <w:ind w:firstLine="720"/>
        <w:contextualSpacing/>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College aid should also be reformed.  The appropriate amount of aid is a topic of much debate and we do not recommend a specific level in this study.  However, to the extent aid is given, it should be concentrated on the students who cannot afford college.  In 2012, the federal government spent $33.4 billion on Pell Grants, which are needs-based grants for low-income students. According to the Institute </w:t>
      </w:r>
      <w:r w:rsidR="00881227">
        <w:rPr>
          <w:rFonts w:ascii="Times New Roman" w:eastAsia="Times New Roman" w:hAnsi="Times New Roman" w:cs="Times New Roman"/>
          <w:color w:val="1A1A1A"/>
          <w:sz w:val="24"/>
          <w:szCs w:val="24"/>
        </w:rPr>
        <w:t>f</w:t>
      </w:r>
      <w:r>
        <w:rPr>
          <w:rFonts w:ascii="Times New Roman" w:eastAsia="Times New Roman" w:hAnsi="Times New Roman" w:cs="Times New Roman"/>
          <w:color w:val="1A1A1A"/>
          <w:sz w:val="24"/>
          <w:szCs w:val="24"/>
        </w:rPr>
        <w:t>or College Access and Success, Afr</w:t>
      </w:r>
      <w:r w:rsidR="00881227">
        <w:rPr>
          <w:rFonts w:ascii="Times New Roman" w:eastAsia="Times New Roman" w:hAnsi="Times New Roman" w:cs="Times New Roman"/>
          <w:color w:val="1A1A1A"/>
          <w:sz w:val="24"/>
          <w:szCs w:val="24"/>
        </w:rPr>
        <w:t>ican-</w:t>
      </w:r>
      <w:r w:rsidR="00E550E1">
        <w:rPr>
          <w:rFonts w:ascii="Times New Roman" w:eastAsia="Times New Roman" w:hAnsi="Times New Roman" w:cs="Times New Roman"/>
          <w:color w:val="1A1A1A"/>
          <w:sz w:val="24"/>
          <w:szCs w:val="24"/>
        </w:rPr>
        <w:t>American students have bene</w:t>
      </w:r>
      <w:r>
        <w:rPr>
          <w:rFonts w:ascii="Times New Roman" w:eastAsia="Times New Roman" w:hAnsi="Times New Roman" w:cs="Times New Roman"/>
          <w:color w:val="1A1A1A"/>
          <w:sz w:val="24"/>
          <w:szCs w:val="24"/>
        </w:rPr>
        <w:t>fited greatly from Pell Grants. At a majority of historically black colleges and universities, two-thirds or more o</w:t>
      </w:r>
      <w:r w:rsidR="00881227">
        <w:rPr>
          <w:rFonts w:ascii="Times New Roman" w:eastAsia="Times New Roman" w:hAnsi="Times New Roman" w:cs="Times New Roman"/>
          <w:color w:val="1A1A1A"/>
          <w:sz w:val="24"/>
          <w:szCs w:val="24"/>
        </w:rPr>
        <w:t>f all enrolled students receive</w:t>
      </w:r>
      <w:r>
        <w:rPr>
          <w:rFonts w:ascii="Times New Roman" w:eastAsia="Times New Roman" w:hAnsi="Times New Roman" w:cs="Times New Roman"/>
          <w:color w:val="1A1A1A"/>
          <w:sz w:val="24"/>
          <w:szCs w:val="24"/>
        </w:rPr>
        <w:t xml:space="preserve"> Pell Grants.</w:t>
      </w:r>
      <w:r>
        <w:rPr>
          <w:rStyle w:val="FootnoteReference"/>
          <w:rFonts w:ascii="Times New Roman" w:eastAsia="Times New Roman" w:hAnsi="Times New Roman" w:cs="Times New Roman"/>
          <w:color w:val="1A1A1A"/>
          <w:sz w:val="24"/>
          <w:szCs w:val="24"/>
        </w:rPr>
        <w:footnoteReference w:id="52"/>
      </w:r>
      <w:r>
        <w:rPr>
          <w:rFonts w:ascii="Times New Roman" w:eastAsia="Times New Roman" w:hAnsi="Times New Roman" w:cs="Times New Roman"/>
          <w:color w:val="1A1A1A"/>
          <w:sz w:val="24"/>
          <w:szCs w:val="24"/>
        </w:rPr>
        <w:t xml:space="preserve">  However, roughly 7 percent of Pell Grant recipients are above 250 percent of the poverty line, according to the Congressional Budget Office.</w:t>
      </w:r>
      <w:r>
        <w:rPr>
          <w:rStyle w:val="FootnoteReference"/>
          <w:rFonts w:ascii="Times New Roman" w:eastAsia="Times New Roman" w:hAnsi="Times New Roman" w:cs="Times New Roman"/>
          <w:color w:val="1A1A1A"/>
          <w:sz w:val="24"/>
          <w:szCs w:val="24"/>
        </w:rPr>
        <w:footnoteReference w:id="53"/>
      </w:r>
      <w:r>
        <w:rPr>
          <w:rFonts w:ascii="Times New Roman" w:eastAsia="Times New Roman" w:hAnsi="Times New Roman" w:cs="Times New Roman"/>
          <w:color w:val="1A1A1A"/>
          <w:sz w:val="24"/>
          <w:szCs w:val="24"/>
        </w:rPr>
        <w:t xml:space="preserve">  Resources should be transferred from these students at the upper end of Pell Grant eligibility to students below the poverty line.</w:t>
      </w:r>
    </w:p>
    <w:p w:rsidR="003A18FF" w:rsidRDefault="003A18FF" w:rsidP="003A18FF">
      <w:pPr>
        <w:pStyle w:val="FootnoteText"/>
        <w:spacing w:line="360" w:lineRule="auto"/>
        <w:ind w:firstLine="720"/>
        <w:contextualSpacing/>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Aid should also be given with an incentive for students to graduate.  </w:t>
      </w:r>
      <w:r w:rsidRPr="007A5A1A">
        <w:rPr>
          <w:rFonts w:ascii="Times New Roman" w:eastAsia="Times New Roman" w:hAnsi="Times New Roman" w:cs="Times New Roman"/>
          <w:color w:val="1A1A1A"/>
          <w:sz w:val="24"/>
          <w:szCs w:val="24"/>
        </w:rPr>
        <w:t>Pell Grant</w:t>
      </w:r>
      <w:r>
        <w:rPr>
          <w:rFonts w:ascii="Times New Roman" w:eastAsia="Times New Roman" w:hAnsi="Times New Roman" w:cs="Times New Roman"/>
          <w:color w:val="1A1A1A"/>
          <w:sz w:val="24"/>
          <w:szCs w:val="24"/>
        </w:rPr>
        <w:t>s</w:t>
      </w:r>
      <w:r w:rsidRPr="007A5A1A">
        <w:rPr>
          <w:rFonts w:ascii="Times New Roman" w:eastAsia="Times New Roman" w:hAnsi="Times New Roman" w:cs="Times New Roman"/>
          <w:color w:val="1A1A1A"/>
          <w:sz w:val="24"/>
          <w:szCs w:val="24"/>
        </w:rPr>
        <w:t xml:space="preserve"> amount to very little societal (or individual) benefit if the students do not complete the degree.  </w:t>
      </w:r>
      <w:r>
        <w:rPr>
          <w:rFonts w:ascii="Times New Roman" w:eastAsia="Times New Roman" w:hAnsi="Times New Roman" w:cs="Times New Roman"/>
          <w:color w:val="1A1A1A"/>
          <w:sz w:val="24"/>
          <w:szCs w:val="24"/>
        </w:rPr>
        <w:t xml:space="preserve">Yet </w:t>
      </w:r>
      <w:r>
        <w:rPr>
          <w:rFonts w:ascii="Times New Roman" w:eastAsia="Times New Roman" w:hAnsi="Times New Roman" w:cs="Times New Roman"/>
          <w:color w:val="1A1A1A"/>
          <w:sz w:val="24"/>
          <w:szCs w:val="24"/>
        </w:rPr>
        <w:lastRenderedPageBreak/>
        <w:t>s</w:t>
      </w:r>
      <w:r w:rsidRPr="007A5A1A">
        <w:rPr>
          <w:rFonts w:ascii="Times New Roman" w:eastAsia="Times New Roman" w:hAnsi="Times New Roman" w:cs="Times New Roman"/>
          <w:color w:val="1A1A1A"/>
          <w:sz w:val="24"/>
          <w:szCs w:val="24"/>
        </w:rPr>
        <w:t>tudents from the lowest-income quartile</w:t>
      </w:r>
      <w:r>
        <w:rPr>
          <w:rFonts w:ascii="Times New Roman" w:eastAsia="Times New Roman" w:hAnsi="Times New Roman" w:cs="Times New Roman"/>
          <w:color w:val="1A1A1A"/>
          <w:sz w:val="24"/>
          <w:szCs w:val="24"/>
        </w:rPr>
        <w:t xml:space="preserve"> historically</w:t>
      </w:r>
      <w:r w:rsidRPr="007A5A1A">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are six-</w:t>
      </w:r>
      <w:r w:rsidRPr="007A5A1A">
        <w:rPr>
          <w:rFonts w:ascii="Times New Roman" w:eastAsia="Times New Roman" w:hAnsi="Times New Roman" w:cs="Times New Roman"/>
          <w:color w:val="1A1A1A"/>
          <w:sz w:val="24"/>
          <w:szCs w:val="24"/>
        </w:rPr>
        <w:t xml:space="preserve">times </w:t>
      </w:r>
      <w:r>
        <w:rPr>
          <w:rFonts w:ascii="Times New Roman" w:eastAsia="Times New Roman" w:hAnsi="Times New Roman" w:cs="Times New Roman"/>
          <w:color w:val="1A1A1A"/>
          <w:sz w:val="24"/>
          <w:szCs w:val="24"/>
        </w:rPr>
        <w:t>more likely not to complete</w:t>
      </w:r>
      <w:r w:rsidRPr="007A5A1A">
        <w:rPr>
          <w:rFonts w:ascii="Times New Roman" w:eastAsia="Times New Roman" w:hAnsi="Times New Roman" w:cs="Times New Roman"/>
          <w:color w:val="1A1A1A"/>
          <w:sz w:val="24"/>
          <w:szCs w:val="24"/>
        </w:rPr>
        <w:t xml:space="preserve"> college than </w:t>
      </w:r>
      <w:r>
        <w:rPr>
          <w:rFonts w:ascii="Times New Roman" w:eastAsia="Times New Roman" w:hAnsi="Times New Roman" w:cs="Times New Roman"/>
          <w:color w:val="1A1A1A"/>
          <w:sz w:val="24"/>
          <w:szCs w:val="24"/>
        </w:rPr>
        <w:t xml:space="preserve">students </w:t>
      </w:r>
      <w:r w:rsidRPr="007A5A1A">
        <w:rPr>
          <w:rFonts w:ascii="Times New Roman" w:eastAsia="Times New Roman" w:hAnsi="Times New Roman" w:cs="Times New Roman"/>
          <w:color w:val="1A1A1A"/>
          <w:sz w:val="24"/>
          <w:szCs w:val="24"/>
        </w:rPr>
        <w:t>from the highest-income quartile.</w:t>
      </w:r>
      <w:r w:rsidRPr="007A5A1A">
        <w:rPr>
          <w:rStyle w:val="FootnoteReference"/>
          <w:rFonts w:ascii="Times New Roman" w:eastAsia="Times New Roman" w:hAnsi="Times New Roman" w:cs="Times New Roman"/>
          <w:color w:val="1A1A1A"/>
          <w:sz w:val="24"/>
          <w:szCs w:val="24"/>
        </w:rPr>
        <w:footnoteReference w:id="54"/>
      </w:r>
      <w:r w:rsidRPr="007A5A1A">
        <w:rPr>
          <w:rFonts w:ascii="Times New Roman" w:eastAsia="Times New Roman" w:hAnsi="Times New Roman" w:cs="Times New Roman"/>
          <w:color w:val="1A1A1A"/>
          <w:sz w:val="24"/>
          <w:szCs w:val="24"/>
        </w:rPr>
        <w:t xml:space="preserve"> </w:t>
      </w:r>
    </w:p>
    <w:p w:rsidR="003A18FF" w:rsidRDefault="003A18FF" w:rsidP="003A18FF">
      <w:pPr>
        <w:pStyle w:val="FootnoteText"/>
        <w:spacing w:line="360" w:lineRule="auto"/>
        <w:ind w:firstLine="720"/>
        <w:contextualSpacing/>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Pilot programs should be established to experiment with the timing of Pell Grant disbursements to encourage graduation. One option could be providing lower payments </w:t>
      </w:r>
      <w:r w:rsidR="00881227">
        <w:rPr>
          <w:rFonts w:ascii="Times New Roman" w:eastAsia="Times New Roman" w:hAnsi="Times New Roman" w:cs="Times New Roman"/>
          <w:color w:val="1A1A1A"/>
          <w:sz w:val="24"/>
          <w:szCs w:val="24"/>
        </w:rPr>
        <w:t>on a semester-by-semester basis</w:t>
      </w:r>
      <w:r>
        <w:rPr>
          <w:rFonts w:ascii="Times New Roman" w:eastAsia="Times New Roman" w:hAnsi="Times New Roman" w:cs="Times New Roman"/>
          <w:color w:val="1A1A1A"/>
          <w:sz w:val="24"/>
          <w:szCs w:val="24"/>
        </w:rPr>
        <w:t xml:space="preserve"> with the bulk of the grant given upon graduation.  </w:t>
      </w:r>
      <w:r w:rsidRPr="007A5A1A">
        <w:rPr>
          <w:rFonts w:ascii="Times New Roman" w:eastAsia="Times New Roman" w:hAnsi="Times New Roman" w:cs="Times New Roman"/>
          <w:color w:val="1A1A1A"/>
          <w:sz w:val="24"/>
          <w:szCs w:val="24"/>
        </w:rPr>
        <w:t xml:space="preserve">To </w:t>
      </w:r>
      <w:r>
        <w:rPr>
          <w:rFonts w:ascii="Times New Roman" w:eastAsia="Times New Roman" w:hAnsi="Times New Roman" w:cs="Times New Roman"/>
          <w:color w:val="1A1A1A"/>
          <w:sz w:val="24"/>
          <w:szCs w:val="24"/>
        </w:rPr>
        <w:t xml:space="preserve">our </w:t>
      </w:r>
      <w:r w:rsidRPr="007A5A1A">
        <w:rPr>
          <w:rFonts w:ascii="Times New Roman" w:eastAsia="Times New Roman" w:hAnsi="Times New Roman" w:cs="Times New Roman"/>
          <w:color w:val="1A1A1A"/>
          <w:sz w:val="24"/>
          <w:szCs w:val="24"/>
        </w:rPr>
        <w:t xml:space="preserve">knowledge, </w:t>
      </w:r>
      <w:r>
        <w:rPr>
          <w:rFonts w:ascii="Times New Roman" w:eastAsia="Times New Roman" w:hAnsi="Times New Roman" w:cs="Times New Roman"/>
          <w:color w:val="1A1A1A"/>
          <w:sz w:val="24"/>
          <w:szCs w:val="24"/>
        </w:rPr>
        <w:t>this has not been tried.  Additionally, a recent CBO report proposes restructuring the Pell grant program as a loan program.</w:t>
      </w:r>
      <w:r>
        <w:rPr>
          <w:rStyle w:val="FootnoteReference"/>
          <w:rFonts w:ascii="Times New Roman" w:eastAsia="Times New Roman" w:hAnsi="Times New Roman" w:cs="Times New Roman"/>
          <w:color w:val="1A1A1A"/>
          <w:sz w:val="24"/>
          <w:szCs w:val="24"/>
        </w:rPr>
        <w:footnoteReference w:id="55"/>
      </w:r>
      <w:r>
        <w:rPr>
          <w:rFonts w:ascii="Times New Roman" w:eastAsia="Times New Roman" w:hAnsi="Times New Roman" w:cs="Times New Roman"/>
          <w:color w:val="1A1A1A"/>
          <w:sz w:val="24"/>
          <w:szCs w:val="24"/>
        </w:rPr>
        <w:t xml:space="preserve">  A student would receive a direct loan at the beginning of a term that would be forgiven at the end of the term if the student completes the class, giving students an incentive to stay enrolled for a longer period. Encouraging the completion of college would greatly improve the mobility of low-income students.  In 2012, the average unemployment rate for someone with only some college was 7.7 percent, above the 6.8 percent national average.  The average unemployment rate falls to 4.5 percent with the completion of a bachelor’s degree.</w:t>
      </w:r>
      <w:r>
        <w:rPr>
          <w:rStyle w:val="FootnoteReference"/>
          <w:rFonts w:ascii="Times New Roman" w:eastAsia="Times New Roman" w:hAnsi="Times New Roman" w:cs="Times New Roman"/>
          <w:color w:val="1A1A1A"/>
          <w:sz w:val="24"/>
          <w:szCs w:val="24"/>
        </w:rPr>
        <w:footnoteReference w:id="56"/>
      </w:r>
      <w:r>
        <w:rPr>
          <w:rFonts w:ascii="Times New Roman" w:eastAsia="Times New Roman" w:hAnsi="Times New Roman" w:cs="Times New Roman"/>
          <w:color w:val="1A1A1A"/>
          <w:sz w:val="24"/>
          <w:szCs w:val="24"/>
        </w:rPr>
        <w:t xml:space="preserve">  </w:t>
      </w:r>
    </w:p>
    <w:p w:rsidR="003A18FF" w:rsidRDefault="003A18FF" w:rsidP="003A18FF">
      <w:pPr>
        <w:pStyle w:val="FootnoteText"/>
        <w:spacing w:line="360" w:lineRule="auto"/>
        <w:ind w:firstLine="720"/>
        <w:contextualSpacing/>
        <w:jc w:val="both"/>
        <w:rPr>
          <w:rFonts w:ascii="Times New Roman" w:eastAsia="Times New Roman" w:hAnsi="Times New Roman" w:cs="Times New Roman"/>
          <w:color w:val="1A1A1A"/>
          <w:sz w:val="24"/>
          <w:szCs w:val="24"/>
        </w:rPr>
      </w:pPr>
    </w:p>
    <w:p w:rsidR="003A18FF" w:rsidRPr="00507707" w:rsidRDefault="003A18FF" w:rsidP="003A18FF">
      <w:pPr>
        <w:jc w:val="both"/>
        <w:rPr>
          <w:rFonts w:ascii="Times New Roman" w:hAnsi="Times New Roman" w:cs="Times New Roman"/>
          <w:sz w:val="24"/>
          <w:szCs w:val="24"/>
        </w:rPr>
      </w:pPr>
      <w:r>
        <w:rPr>
          <w:rFonts w:ascii="Times New Roman" w:hAnsi="Times New Roman" w:cs="Times New Roman"/>
          <w:sz w:val="24"/>
          <w:szCs w:val="24"/>
        </w:rPr>
        <w:t xml:space="preserve">III.D. </w:t>
      </w:r>
      <w:r w:rsidRPr="00507707">
        <w:rPr>
          <w:rFonts w:ascii="Times New Roman" w:hAnsi="Times New Roman" w:cs="Times New Roman"/>
          <w:sz w:val="24"/>
          <w:szCs w:val="24"/>
        </w:rPr>
        <w:t>Family Structure</w:t>
      </w:r>
    </w:p>
    <w:p w:rsidR="003A18FF" w:rsidRPr="008D752F" w:rsidRDefault="00782701" w:rsidP="003A18FF">
      <w:pPr>
        <w:pStyle w:val="NormalWeb"/>
        <w:spacing w:before="0" w:beforeAutospacing="0" w:after="360" w:afterAutospacing="0" w:line="432" w:lineRule="atLeast"/>
        <w:ind w:firstLine="720"/>
        <w:jc w:val="both"/>
      </w:pPr>
      <w:r>
        <w:t>S</w:t>
      </w:r>
      <w:r w:rsidR="003A18FF" w:rsidRPr="008D752F">
        <w:t xml:space="preserve">ince the 1960s, </w:t>
      </w:r>
      <w:r>
        <w:t>marriage rates have fallen m</w:t>
      </w:r>
      <w:bookmarkStart w:id="0" w:name="_GoBack"/>
      <w:bookmarkEnd w:id="0"/>
      <w:r w:rsidR="003A18FF" w:rsidRPr="008D752F">
        <w:t>ore sharply for blac</w:t>
      </w:r>
      <w:r w:rsidR="008D752F">
        <w:t>ks than for whites. In 1960, 74 percent</w:t>
      </w:r>
      <w:r w:rsidR="003A18FF" w:rsidRPr="008D752F">
        <w:t xml:space="preserve"> of white a</w:t>
      </w:r>
      <w:r w:rsidR="00393BC9">
        <w:t>dults were married,</w:t>
      </w:r>
      <w:r w:rsidR="008D752F">
        <w:t xml:space="preserve"> as were 61 percent </w:t>
      </w:r>
      <w:r w:rsidR="003A18FF" w:rsidRPr="008D752F">
        <w:t xml:space="preserve">of black adults. </w:t>
      </w:r>
      <w:r w:rsidR="00FE3FC2">
        <w:t>By 2011, 55 percent</w:t>
      </w:r>
      <w:r w:rsidR="003A18FF" w:rsidRPr="008D752F">
        <w:t xml:space="preserve"> of whites</w:t>
      </w:r>
      <w:r w:rsidR="00FE3FC2">
        <w:t xml:space="preserve"> were married, compared with 31 percent</w:t>
      </w:r>
      <w:r w:rsidR="003A18FF" w:rsidRPr="008D752F">
        <w:t xml:space="preserve"> of blacks.</w:t>
      </w:r>
      <w:r w:rsidR="003A18FF" w:rsidRPr="008D752F">
        <w:rPr>
          <w:rStyle w:val="FootnoteReference"/>
        </w:rPr>
        <w:footnoteReference w:id="57"/>
      </w:r>
      <w:r w:rsidR="003A18FF" w:rsidRPr="008D752F">
        <w:t xml:space="preserve"> </w:t>
      </w:r>
      <w:r w:rsidR="006D1E97">
        <w:t>Further</w:t>
      </w:r>
      <w:r w:rsidR="003A18FF" w:rsidRPr="008D752F">
        <w:t>, the Census</w:t>
      </w:r>
      <w:r w:rsidR="003A18FF" w:rsidRPr="008D752F">
        <w:rPr>
          <w:rStyle w:val="apple-converted-space"/>
        </w:rPr>
        <w:t> </w:t>
      </w:r>
      <w:r w:rsidR="003A18FF" w:rsidRPr="008D752F">
        <w:t>recently reported</w:t>
      </w:r>
      <w:r w:rsidR="003A18FF" w:rsidRPr="008D752F">
        <w:rPr>
          <w:rStyle w:val="apple-converted-space"/>
        </w:rPr>
        <w:t> </w:t>
      </w:r>
      <w:r w:rsidR="003A18FF" w:rsidRPr="008D752F">
        <w:t>that 55 percent of black children are living in single-parent homes, versus just 21 percent of white children.</w:t>
      </w:r>
      <w:r w:rsidR="003A18FF" w:rsidRPr="008D752F">
        <w:rPr>
          <w:rStyle w:val="FootnoteReference"/>
        </w:rPr>
        <w:footnoteReference w:id="58"/>
      </w:r>
      <w:r w:rsidR="003A18FF" w:rsidRPr="008D752F">
        <w:t xml:space="preserve"> Data from Pew further sugge</w:t>
      </w:r>
      <w:r w:rsidR="00DB6280">
        <w:t>st that mobility is higher for b</w:t>
      </w:r>
      <w:r w:rsidR="003A18FF" w:rsidRPr="008D752F">
        <w:t>lack children coming from two-parent families than from single parent households.</w:t>
      </w:r>
      <w:r w:rsidR="00DD1558">
        <w:rPr>
          <w:rStyle w:val="FootnoteReference"/>
        </w:rPr>
        <w:footnoteReference w:id="59"/>
      </w:r>
      <w:r w:rsidR="003A18FF" w:rsidRPr="008D752F">
        <w:t xml:space="preserve"> Many have argued that family stability plays a key role in children's outcomes (see Becker</w:t>
      </w:r>
      <w:r w:rsidR="007321DF">
        <w:t xml:space="preserve"> </w:t>
      </w:r>
      <w:r w:rsidR="003A18FF" w:rsidRPr="008D752F">
        <w:t>1991, Murray 1984, Murray 2012). Since the 1980s, there has seen a staggering decline in the traditional family: the number of families headed by a single mother has doubled.</w:t>
      </w:r>
      <w:r w:rsidR="003A18FF" w:rsidRPr="008D752F">
        <w:rPr>
          <w:rStyle w:val="FootnoteReference"/>
        </w:rPr>
        <w:footnoteReference w:id="60"/>
      </w:r>
      <w:r w:rsidR="003A18FF" w:rsidRPr="008D752F">
        <w:t xml:space="preserve">  Single mothers have a much higher rate of poverty (37 percent) than two-parent families (10 percent) or </w:t>
      </w:r>
      <w:r w:rsidR="003A18FF" w:rsidRPr="008D752F">
        <w:lastRenderedPageBreak/>
        <w:t>childless families and individuals (19.5 percent).</w:t>
      </w:r>
      <w:r w:rsidR="003A18FF" w:rsidRPr="008D752F">
        <w:rPr>
          <w:rStyle w:val="FootnoteReference"/>
        </w:rPr>
        <w:footnoteReference w:id="61"/>
      </w:r>
      <w:r w:rsidR="003A18FF" w:rsidRPr="008D752F">
        <w:t xml:space="preserve">   In their paper,</w:t>
      </w:r>
      <w:r w:rsidR="003A18FF" w:rsidRPr="008D752F">
        <w:rPr>
          <w:bCs/>
        </w:rPr>
        <w:t xml:space="preserve"> </w:t>
      </w:r>
      <w:proofErr w:type="spellStart"/>
      <w:r w:rsidR="003A18FF" w:rsidRPr="008D752F">
        <w:rPr>
          <w:bCs/>
        </w:rPr>
        <w:t>Hoynes</w:t>
      </w:r>
      <w:proofErr w:type="spellEnd"/>
      <w:r w:rsidR="003A18FF" w:rsidRPr="008D752F">
        <w:rPr>
          <w:bCs/>
        </w:rPr>
        <w:t xml:space="preserve"> et al.(2005) </w:t>
      </w:r>
      <w:r w:rsidR="003A18FF" w:rsidRPr="008D752F">
        <w:t>purport that changes in family structure may account for the entire increase in poverty from the 1980s to 2004.</w:t>
      </w:r>
      <w:r w:rsidR="003A18FF" w:rsidRPr="008D752F">
        <w:rPr>
          <w:rStyle w:val="FootnoteReference"/>
        </w:rPr>
        <w:footnoteReference w:id="62"/>
      </w:r>
      <w:r w:rsidR="003A18FF" w:rsidRPr="008D752F">
        <w:t xml:space="preserve"> </w:t>
      </w:r>
    </w:p>
    <w:p w:rsidR="003A18FF" w:rsidRDefault="003A18FF" w:rsidP="00D13C9B">
      <w:pPr>
        <w:pStyle w:val="NormalWeb"/>
        <w:spacing w:before="0" w:beforeAutospacing="0" w:after="0" w:afterAutospacing="0" w:line="360" w:lineRule="auto"/>
        <w:ind w:firstLine="720"/>
        <w:jc w:val="both"/>
      </w:pPr>
      <w:r>
        <w:t>One of the reasons for ch</w:t>
      </w:r>
      <w:r w:rsidR="00045025">
        <w:t>anges in family structure is that</w:t>
      </w:r>
      <w:r>
        <w:t xml:space="preserve"> increase</w:t>
      </w:r>
      <w:r w:rsidR="00045025">
        <w:t>s</w:t>
      </w:r>
      <w:r>
        <w:t xml:space="preserve"> in teen pregnancy rates </w:t>
      </w:r>
      <w:r w:rsidR="00045025">
        <w:t>mean more</w:t>
      </w:r>
      <w:r>
        <w:t xml:space="preserve"> single</w:t>
      </w:r>
      <w:r w:rsidR="00B72EBB">
        <w:t xml:space="preserve"> motherhood at very young ages. </w:t>
      </w:r>
      <w:r>
        <w:t xml:space="preserve">Among all racial and ethnic groups, the teen pregnancy rate is highest for </w:t>
      </w:r>
      <w:r w:rsidR="009D00B2">
        <w:t>black</w:t>
      </w:r>
      <w:r>
        <w:t xml:space="preserve"> teens.</w:t>
      </w:r>
      <w:r w:rsidR="00C83598">
        <w:rPr>
          <w:rStyle w:val="FootnoteReference"/>
        </w:rPr>
        <w:footnoteReference w:id="63"/>
      </w:r>
      <w:r>
        <w:t xml:space="preserve"> </w:t>
      </w:r>
      <w:r w:rsidRPr="007A5A1A">
        <w:t>Traditional prevention methods have included more birth control and sex education in schools.  However, nontraditional met</w:t>
      </w:r>
      <w:r w:rsidR="00B72EBB">
        <w:t xml:space="preserve">hods are also worth exploring. </w:t>
      </w:r>
      <w:r w:rsidR="00DC63B3">
        <w:t>Isabel</w:t>
      </w:r>
      <w:r w:rsidRPr="007A5A1A">
        <w:t xml:space="preserve"> </w:t>
      </w:r>
      <w:proofErr w:type="spellStart"/>
      <w:r w:rsidRPr="007A5A1A">
        <w:t>Sawhill</w:t>
      </w:r>
      <w:proofErr w:type="spellEnd"/>
      <w:r w:rsidRPr="007A5A1A">
        <w:t xml:space="preserve"> at the Brookings Institute</w:t>
      </w:r>
      <w:r w:rsidRPr="007A5A1A">
        <w:rPr>
          <w:rStyle w:val="FootnoteReference"/>
        </w:rPr>
        <w:footnoteReference w:id="64"/>
      </w:r>
      <w:r w:rsidRPr="007A5A1A">
        <w:t xml:space="preserve"> recommends a social marketing campaign on teen pregnancy, citing a recent study by Melissa Kearney and Phillip Levine that found MTV’s “16 and Pregnant” show was responsible for one-third of the reduction in teen pregnancy rates in an 18 month period.</w:t>
      </w:r>
      <w:r w:rsidRPr="007A5A1A">
        <w:rPr>
          <w:rStyle w:val="FootnoteReference"/>
        </w:rPr>
        <w:footnoteReference w:id="65"/>
      </w:r>
      <w:r w:rsidRPr="007A5A1A">
        <w:t xml:space="preserve">   </w:t>
      </w:r>
    </w:p>
    <w:p w:rsidR="003A18FF" w:rsidRDefault="003A18FF" w:rsidP="00D13C9B">
      <w:pPr>
        <w:pStyle w:val="NormalWeb"/>
        <w:spacing w:before="0" w:beforeAutospacing="0" w:after="0" w:afterAutospacing="0" w:line="360" w:lineRule="auto"/>
        <w:ind w:firstLine="720"/>
        <w:jc w:val="both"/>
        <w:rPr>
          <w:color w:val="1A1A1A"/>
        </w:rPr>
      </w:pPr>
      <w:r w:rsidRPr="007A5A1A">
        <w:t xml:space="preserve">As for support, one </w:t>
      </w:r>
      <w:r w:rsidRPr="007A5A1A">
        <w:rPr>
          <w:color w:val="1A1A1A"/>
        </w:rPr>
        <w:t>of the surest ways to lift single mothers out of poverty is to encourage them to participate in the workforce.</w:t>
      </w:r>
      <w:r>
        <w:rPr>
          <w:color w:val="1A1A1A"/>
        </w:rPr>
        <w:t xml:space="preserve"> </w:t>
      </w:r>
      <w:r w:rsidR="009A699D">
        <w:rPr>
          <w:color w:val="1A1A1A"/>
        </w:rPr>
        <w:t>However</w:t>
      </w:r>
      <w:r w:rsidR="00045025">
        <w:rPr>
          <w:color w:val="1A1A1A"/>
        </w:rPr>
        <w:t>,</w:t>
      </w:r>
      <w:r w:rsidR="009A699D">
        <w:rPr>
          <w:color w:val="1A1A1A"/>
        </w:rPr>
        <w:t xml:space="preserve"> the current tax code and system of child care supports acts as a disincentive to supplying labor.</w:t>
      </w:r>
    </w:p>
    <w:p w:rsidR="003A18FF" w:rsidRDefault="003A18FF" w:rsidP="00D13C9B">
      <w:pPr>
        <w:pStyle w:val="NormalWeb"/>
        <w:spacing w:before="0" w:beforeAutospacing="0" w:after="0" w:afterAutospacing="0" w:line="360" w:lineRule="auto"/>
        <w:ind w:firstLine="720"/>
        <w:jc w:val="both"/>
        <w:rPr>
          <w:color w:val="1A1A1A"/>
        </w:rPr>
      </w:pPr>
    </w:p>
    <w:p w:rsidR="003A18FF" w:rsidRDefault="003A18FF" w:rsidP="003A18FF">
      <w:pPr>
        <w:spacing w:after="0" w:line="360" w:lineRule="auto"/>
        <w:jc w:val="both"/>
        <w:rPr>
          <w:rFonts w:ascii="Times New Roman" w:hAnsi="Times New Roman" w:cs="Times New Roman"/>
          <w:sz w:val="24"/>
          <w:szCs w:val="24"/>
        </w:rPr>
      </w:pPr>
      <w:r w:rsidRPr="00A371DD">
        <w:rPr>
          <w:rFonts w:ascii="Times New Roman" w:hAnsi="Times New Roman" w:cs="Times New Roman"/>
          <w:i/>
          <w:sz w:val="24"/>
          <w:szCs w:val="24"/>
        </w:rPr>
        <w:t>Federal Policies and Tax Rates</w:t>
      </w:r>
      <w:r>
        <w:rPr>
          <w:rFonts w:ascii="Times New Roman" w:hAnsi="Times New Roman" w:cs="Times New Roman"/>
          <w:sz w:val="24"/>
          <w:szCs w:val="24"/>
        </w:rPr>
        <w:t>: M</w:t>
      </w:r>
      <w:r w:rsidRPr="00617196">
        <w:rPr>
          <w:rFonts w:ascii="Times New Roman" w:hAnsi="Times New Roman" w:cs="Times New Roman"/>
          <w:sz w:val="24"/>
          <w:szCs w:val="24"/>
        </w:rPr>
        <w:t xml:space="preserve">any </w:t>
      </w:r>
      <w:r>
        <w:rPr>
          <w:rFonts w:ascii="Times New Roman" w:hAnsi="Times New Roman" w:cs="Times New Roman"/>
          <w:sz w:val="24"/>
          <w:szCs w:val="24"/>
        </w:rPr>
        <w:t xml:space="preserve">federal </w:t>
      </w:r>
      <w:r w:rsidRPr="00617196">
        <w:rPr>
          <w:rFonts w:ascii="Times New Roman" w:hAnsi="Times New Roman" w:cs="Times New Roman"/>
          <w:sz w:val="24"/>
          <w:szCs w:val="24"/>
        </w:rPr>
        <w:t>policies impose high marginal tax rates on women</w:t>
      </w:r>
      <w:r>
        <w:rPr>
          <w:rFonts w:ascii="Times New Roman" w:hAnsi="Times New Roman" w:cs="Times New Roman"/>
          <w:sz w:val="24"/>
          <w:szCs w:val="24"/>
        </w:rPr>
        <w:t>, which discourages their workforce participation</w:t>
      </w:r>
      <w:r w:rsidRPr="00617196">
        <w:rPr>
          <w:rFonts w:ascii="Times New Roman" w:hAnsi="Times New Roman" w:cs="Times New Roman"/>
          <w:sz w:val="24"/>
          <w:szCs w:val="24"/>
        </w:rPr>
        <w:t xml:space="preserve">. The Affordable Care Act (ACA) has added to the tax penalties that already exist in the tax code and acts as a disincentive to supply labor. </w:t>
      </w:r>
      <w:r w:rsidRPr="00617196">
        <w:rPr>
          <w:rFonts w:ascii="Times New Roman" w:hAnsi="Times New Roman" w:cs="Times New Roman"/>
          <w:color w:val="000000"/>
          <w:sz w:val="24"/>
          <w:szCs w:val="24"/>
        </w:rPr>
        <w:t>According to research by Mulligan, the marginal tax rates from the ACA from phas</w:t>
      </w:r>
      <w:r>
        <w:rPr>
          <w:rFonts w:ascii="Times New Roman" w:hAnsi="Times New Roman" w:cs="Times New Roman"/>
          <w:color w:val="000000"/>
          <w:sz w:val="24"/>
          <w:szCs w:val="24"/>
        </w:rPr>
        <w:t xml:space="preserve">ing </w:t>
      </w:r>
      <w:r w:rsidRPr="00617196">
        <w:rPr>
          <w:rFonts w:ascii="Times New Roman" w:hAnsi="Times New Roman" w:cs="Times New Roman"/>
          <w:color w:val="000000"/>
          <w:sz w:val="24"/>
          <w:szCs w:val="24"/>
        </w:rPr>
        <w:t xml:space="preserve">out the subsidy could reach 50 percent for some earners, after taking into account other benefit </w:t>
      </w:r>
      <w:r w:rsidRPr="00617196">
        <w:rPr>
          <w:rFonts w:ascii="Times New Roman" w:hAnsi="Times New Roman" w:cs="Times New Roman"/>
          <w:color w:val="000000"/>
          <w:sz w:val="24"/>
          <w:szCs w:val="24"/>
        </w:rPr>
        <w:lastRenderedPageBreak/>
        <w:t>programs and marginal taxes.</w:t>
      </w:r>
      <w:r w:rsidR="00045025">
        <w:rPr>
          <w:rStyle w:val="FootnoteReference"/>
          <w:rFonts w:ascii="Times New Roman" w:hAnsi="Times New Roman" w:cs="Times New Roman"/>
          <w:color w:val="000000"/>
          <w:sz w:val="24"/>
          <w:szCs w:val="24"/>
        </w:rPr>
        <w:footnoteReference w:id="66"/>
      </w:r>
      <w:r>
        <w:rPr>
          <w:rFonts w:ascii="Times New Roman" w:hAnsi="Times New Roman" w:cs="Times New Roman"/>
          <w:color w:val="000000"/>
          <w:sz w:val="24"/>
          <w:szCs w:val="24"/>
        </w:rPr>
        <w:t xml:space="preserve"> </w:t>
      </w:r>
      <w:r w:rsidRPr="00617196">
        <w:rPr>
          <w:rFonts w:ascii="Times New Roman" w:hAnsi="Times New Roman" w:cs="Times New Roman"/>
          <w:sz w:val="24"/>
          <w:szCs w:val="24"/>
        </w:rPr>
        <w:t>As per the C</w:t>
      </w:r>
      <w:r>
        <w:rPr>
          <w:rFonts w:ascii="Times New Roman" w:hAnsi="Times New Roman" w:cs="Times New Roman"/>
          <w:sz w:val="24"/>
          <w:szCs w:val="24"/>
        </w:rPr>
        <w:t>ongressional Budget Office</w:t>
      </w:r>
      <w:r w:rsidRPr="00617196">
        <w:rPr>
          <w:rFonts w:ascii="Times New Roman" w:hAnsi="Times New Roman" w:cs="Times New Roman"/>
          <w:sz w:val="24"/>
          <w:szCs w:val="24"/>
        </w:rPr>
        <w:t>, the phase</w:t>
      </w:r>
      <w:r>
        <w:rPr>
          <w:rFonts w:ascii="Times New Roman" w:hAnsi="Times New Roman" w:cs="Times New Roman"/>
          <w:sz w:val="24"/>
          <w:szCs w:val="24"/>
        </w:rPr>
        <w:t>-</w:t>
      </w:r>
      <w:r w:rsidRPr="00617196">
        <w:rPr>
          <w:rFonts w:ascii="Times New Roman" w:hAnsi="Times New Roman" w:cs="Times New Roman"/>
          <w:sz w:val="24"/>
          <w:szCs w:val="24"/>
        </w:rPr>
        <w:t xml:space="preserve">out of the health insurance subsidies will result in an implicit tax on earnings and reduce the total number of hours worked by about 1.5 to 2.0 percent </w:t>
      </w:r>
      <w:r>
        <w:rPr>
          <w:rFonts w:ascii="Times New Roman" w:hAnsi="Times New Roman" w:cs="Times New Roman"/>
          <w:sz w:val="24"/>
          <w:szCs w:val="24"/>
        </w:rPr>
        <w:t xml:space="preserve">between </w:t>
      </w:r>
      <w:r w:rsidRPr="00617196">
        <w:rPr>
          <w:rFonts w:ascii="Times New Roman" w:hAnsi="Times New Roman" w:cs="Times New Roman"/>
          <w:sz w:val="24"/>
          <w:szCs w:val="24"/>
        </w:rPr>
        <w:t xml:space="preserve">2017 </w:t>
      </w:r>
      <w:r>
        <w:rPr>
          <w:rFonts w:ascii="Times New Roman" w:hAnsi="Times New Roman" w:cs="Times New Roman"/>
          <w:sz w:val="24"/>
          <w:szCs w:val="24"/>
        </w:rPr>
        <w:t>and</w:t>
      </w:r>
      <w:r w:rsidRPr="00617196">
        <w:rPr>
          <w:rFonts w:ascii="Times New Roman" w:hAnsi="Times New Roman" w:cs="Times New Roman"/>
          <w:sz w:val="24"/>
          <w:szCs w:val="24"/>
        </w:rPr>
        <w:t xml:space="preserve"> 2024 and will lead to a reduction in aggregate compensation of about 1 percent. </w:t>
      </w:r>
    </w:p>
    <w:p w:rsidR="003A18FF" w:rsidRPr="00617196"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These large declines in labor supply, whether they happen through cuts in hours or through fewer jobs, are likely to occur among low-wage workers.</w:t>
      </w:r>
      <w:r w:rsidR="00525EBC">
        <w:rPr>
          <w:rStyle w:val="FootnoteReference"/>
          <w:rFonts w:ascii="Times New Roman" w:hAnsi="Times New Roman" w:cs="Times New Roman"/>
          <w:sz w:val="24"/>
          <w:szCs w:val="24"/>
        </w:rPr>
        <w:footnoteReference w:id="67"/>
      </w:r>
      <w:r w:rsidRPr="00617196">
        <w:rPr>
          <w:rFonts w:ascii="Times New Roman" w:hAnsi="Times New Roman" w:cs="Times New Roman"/>
          <w:color w:val="000000"/>
          <w:sz w:val="24"/>
          <w:szCs w:val="24"/>
        </w:rPr>
        <w:t xml:space="preserve"> </w:t>
      </w:r>
      <w:r w:rsidRPr="00617196">
        <w:rPr>
          <w:rFonts w:ascii="Times New Roman" w:hAnsi="Times New Roman" w:cs="Times New Roman"/>
          <w:sz w:val="24"/>
          <w:szCs w:val="24"/>
        </w:rPr>
        <w:t xml:space="preserve">Given that the elasticity of labor supply for women is higher than for men and that women constitute a greater share of low-wage workers, it seems likely that </w:t>
      </w:r>
      <w:r>
        <w:rPr>
          <w:rFonts w:ascii="Times New Roman" w:hAnsi="Times New Roman" w:cs="Times New Roman"/>
          <w:sz w:val="24"/>
          <w:szCs w:val="24"/>
        </w:rPr>
        <w:t xml:space="preserve">women will disproportionately feel </w:t>
      </w:r>
      <w:r w:rsidRPr="00617196">
        <w:rPr>
          <w:rFonts w:ascii="Times New Roman" w:hAnsi="Times New Roman" w:cs="Times New Roman"/>
          <w:sz w:val="24"/>
          <w:szCs w:val="24"/>
        </w:rPr>
        <w:t>these effects.</w:t>
      </w:r>
    </w:p>
    <w:p w:rsidR="003A18FF"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Furthermore, married women face strong disincentives to work in the tax code.</w:t>
      </w:r>
      <w:r>
        <w:rPr>
          <w:rFonts w:ascii="Times New Roman" w:hAnsi="Times New Roman" w:cs="Times New Roman"/>
          <w:sz w:val="24"/>
          <w:szCs w:val="24"/>
        </w:rPr>
        <w:t xml:space="preserve"> </w:t>
      </w:r>
      <w:r w:rsidRPr="00617196">
        <w:rPr>
          <w:rFonts w:ascii="Times New Roman" w:hAnsi="Times New Roman" w:cs="Times New Roman"/>
          <w:sz w:val="24"/>
          <w:szCs w:val="24"/>
        </w:rPr>
        <w:t>The disadvantageous tax treatment of a married couple’s income relative to two</w:t>
      </w:r>
      <w:r>
        <w:rPr>
          <w:rFonts w:ascii="Times New Roman" w:hAnsi="Times New Roman" w:cs="Times New Roman"/>
          <w:sz w:val="24"/>
          <w:szCs w:val="24"/>
        </w:rPr>
        <w:t xml:space="preserve"> single</w:t>
      </w:r>
      <w:r w:rsidRPr="00617196">
        <w:rPr>
          <w:rFonts w:ascii="Times New Roman" w:hAnsi="Times New Roman" w:cs="Times New Roman"/>
          <w:sz w:val="24"/>
          <w:szCs w:val="24"/>
        </w:rPr>
        <w:t xml:space="preserve"> individuals earning an equivalent amount has led to the notion of a marriage penalty. </w:t>
      </w:r>
      <w:r w:rsidRPr="00617196">
        <w:rPr>
          <w:rFonts w:ascii="Times New Roman" w:eastAsia="Times New Roman" w:hAnsi="Times New Roman" w:cs="Times New Roman"/>
          <w:sz w:val="24"/>
          <w:szCs w:val="24"/>
        </w:rPr>
        <w:t xml:space="preserve">For example, </w:t>
      </w:r>
      <w:proofErr w:type="spellStart"/>
      <w:r w:rsidRPr="00617196">
        <w:rPr>
          <w:rFonts w:ascii="Times New Roman" w:eastAsia="Times New Roman" w:hAnsi="Times New Roman" w:cs="Times New Roman"/>
          <w:sz w:val="24"/>
          <w:szCs w:val="24"/>
        </w:rPr>
        <w:t>Fichtner</w:t>
      </w:r>
      <w:proofErr w:type="spellEnd"/>
      <w:r w:rsidRPr="00617196">
        <w:rPr>
          <w:rFonts w:ascii="Times New Roman" w:eastAsia="Times New Roman" w:hAnsi="Times New Roman" w:cs="Times New Roman"/>
          <w:sz w:val="24"/>
          <w:szCs w:val="24"/>
        </w:rPr>
        <w:t xml:space="preserve"> and Feldman point</w:t>
      </w:r>
      <w:r>
        <w:rPr>
          <w:rFonts w:ascii="Times New Roman" w:eastAsia="Times New Roman" w:hAnsi="Times New Roman" w:cs="Times New Roman"/>
          <w:sz w:val="24"/>
          <w:szCs w:val="24"/>
        </w:rPr>
        <w:t>ed</w:t>
      </w:r>
      <w:r w:rsidRPr="00617196">
        <w:rPr>
          <w:rFonts w:ascii="Times New Roman" w:eastAsia="Times New Roman" w:hAnsi="Times New Roman" w:cs="Times New Roman"/>
          <w:sz w:val="24"/>
          <w:szCs w:val="24"/>
        </w:rPr>
        <w:t xml:space="preserve"> out that the tax code subsidizes single-worker families earning $60,000 while it taxes a two-earner household earning $60,000, which creates inequality among families earning identical wages.</w:t>
      </w:r>
      <w:r w:rsidR="00C05CE2">
        <w:rPr>
          <w:rStyle w:val="FootnoteReference"/>
          <w:rFonts w:ascii="Times New Roman" w:eastAsia="Times New Roman" w:hAnsi="Times New Roman" w:cs="Times New Roman"/>
          <w:sz w:val="24"/>
          <w:szCs w:val="24"/>
        </w:rPr>
        <w:footnoteReference w:id="68"/>
      </w:r>
      <w:r w:rsidRPr="00617196">
        <w:rPr>
          <w:rFonts w:ascii="Times New Roman" w:hAnsi="Times New Roman" w:cs="Times New Roman"/>
          <w:sz w:val="24"/>
          <w:szCs w:val="24"/>
        </w:rPr>
        <w:t xml:space="preserve"> </w:t>
      </w:r>
      <w:proofErr w:type="spellStart"/>
      <w:r w:rsidRPr="00617196">
        <w:rPr>
          <w:rFonts w:ascii="Times New Roman" w:eastAsia="Times New Roman" w:hAnsi="Times New Roman" w:cs="Times New Roman"/>
          <w:sz w:val="24"/>
          <w:szCs w:val="24"/>
        </w:rPr>
        <w:t>Dickert-Conlin</w:t>
      </w:r>
      <w:proofErr w:type="spellEnd"/>
      <w:r w:rsidRPr="00617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found</w:t>
      </w:r>
      <w:r w:rsidRPr="00617196">
        <w:rPr>
          <w:rFonts w:ascii="Times New Roman" w:eastAsia="Times New Roman" w:hAnsi="Times New Roman" w:cs="Times New Roman"/>
          <w:sz w:val="24"/>
          <w:szCs w:val="24"/>
        </w:rPr>
        <w:t xml:space="preserve"> that most low-income couples are eligible for higher welfare benefits if they are separated rather than married.</w:t>
      </w:r>
      <w:r w:rsidR="00330E7E">
        <w:rPr>
          <w:rStyle w:val="FootnoteReference"/>
          <w:rFonts w:ascii="Times New Roman" w:eastAsia="Times New Roman" w:hAnsi="Times New Roman" w:cs="Times New Roman"/>
          <w:sz w:val="24"/>
          <w:szCs w:val="24"/>
        </w:rPr>
        <w:footnoteReference w:id="69"/>
      </w:r>
      <w:r w:rsidRPr="00617196">
        <w:rPr>
          <w:rFonts w:ascii="Times New Roman" w:eastAsia="Times New Roman" w:hAnsi="Times New Roman" w:cs="Times New Roman"/>
          <w:sz w:val="24"/>
          <w:szCs w:val="24"/>
        </w:rPr>
        <w:t xml:space="preserve"> </w:t>
      </w:r>
      <w:r w:rsidRPr="00617196">
        <w:rPr>
          <w:rFonts w:ascii="Times New Roman" w:hAnsi="Times New Roman" w:cs="Times New Roman"/>
          <w:sz w:val="24"/>
          <w:szCs w:val="24"/>
        </w:rPr>
        <w:t>A recent study by Kearney and Turner shows how a family headed by a primary earner making $25,000 a year will take home less than 30 percent of a spouse’s earnings because of taxes and the phase</w:t>
      </w:r>
      <w:r w:rsidR="009A699D">
        <w:rPr>
          <w:rFonts w:ascii="Times New Roman" w:hAnsi="Times New Roman" w:cs="Times New Roman"/>
          <w:sz w:val="24"/>
          <w:szCs w:val="24"/>
        </w:rPr>
        <w:t>-</w:t>
      </w:r>
      <w:r w:rsidRPr="00617196">
        <w:rPr>
          <w:rFonts w:ascii="Times New Roman" w:hAnsi="Times New Roman" w:cs="Times New Roman"/>
          <w:sz w:val="24"/>
          <w:szCs w:val="24"/>
        </w:rPr>
        <w:t>out of benefits.</w:t>
      </w:r>
      <w:r w:rsidR="00330E7E">
        <w:rPr>
          <w:rStyle w:val="FootnoteReference"/>
          <w:rFonts w:ascii="Times New Roman" w:hAnsi="Times New Roman" w:cs="Times New Roman"/>
          <w:sz w:val="24"/>
          <w:szCs w:val="24"/>
        </w:rPr>
        <w:footnoteReference w:id="70"/>
      </w:r>
    </w:p>
    <w:p w:rsidR="003A18FF" w:rsidRPr="00617196"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Benefits aside, a single woman entering the workforce would pay a 10</w:t>
      </w:r>
      <w:r>
        <w:rPr>
          <w:rFonts w:ascii="Times New Roman" w:hAnsi="Times New Roman" w:cs="Times New Roman"/>
          <w:sz w:val="24"/>
          <w:szCs w:val="24"/>
        </w:rPr>
        <w:t xml:space="preserve"> </w:t>
      </w:r>
      <w:r w:rsidRPr="00617196">
        <w:rPr>
          <w:rFonts w:ascii="Times New Roman" w:hAnsi="Times New Roman" w:cs="Times New Roman"/>
          <w:sz w:val="24"/>
          <w:szCs w:val="24"/>
        </w:rPr>
        <w:t xml:space="preserve">percent tax rate on her first dollar earned, whereas a married </w:t>
      </w:r>
      <w:r>
        <w:rPr>
          <w:rFonts w:ascii="Times New Roman" w:hAnsi="Times New Roman" w:cs="Times New Roman"/>
          <w:sz w:val="24"/>
          <w:szCs w:val="24"/>
        </w:rPr>
        <w:t>woman</w:t>
      </w:r>
      <w:r w:rsidRPr="00617196">
        <w:rPr>
          <w:rFonts w:ascii="Times New Roman" w:hAnsi="Times New Roman" w:cs="Times New Roman"/>
          <w:sz w:val="24"/>
          <w:szCs w:val="24"/>
        </w:rPr>
        <w:t xml:space="preserve"> entering the workforce would face a 25</w:t>
      </w:r>
      <w:r>
        <w:rPr>
          <w:rFonts w:ascii="Times New Roman" w:hAnsi="Times New Roman" w:cs="Times New Roman"/>
          <w:sz w:val="24"/>
          <w:szCs w:val="24"/>
        </w:rPr>
        <w:t xml:space="preserve"> </w:t>
      </w:r>
      <w:r w:rsidRPr="00617196">
        <w:rPr>
          <w:rFonts w:ascii="Times New Roman" w:hAnsi="Times New Roman" w:cs="Times New Roman"/>
          <w:sz w:val="24"/>
          <w:szCs w:val="24"/>
        </w:rPr>
        <w:t>percent tax rate if her husband earned $60,000.</w:t>
      </w:r>
      <w:r w:rsidR="000C674A">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w:t>
      </w:r>
      <w:r w:rsidRPr="00617196">
        <w:rPr>
          <w:rFonts w:ascii="Times New Roman" w:hAnsi="Times New Roman" w:cs="Times New Roman"/>
          <w:sz w:val="24"/>
          <w:szCs w:val="24"/>
        </w:rPr>
        <w:t>Between taxes, lost benefits, and the high cost of child care, some married mothers may actually lose money from working.</w:t>
      </w:r>
      <w:r>
        <w:rPr>
          <w:rFonts w:ascii="Times New Roman" w:hAnsi="Times New Roman" w:cs="Times New Roman"/>
          <w:sz w:val="24"/>
          <w:szCs w:val="24"/>
        </w:rPr>
        <w:t xml:space="preserve"> </w:t>
      </w:r>
      <w:r w:rsidRPr="00617196">
        <w:rPr>
          <w:rFonts w:ascii="Times New Roman" w:hAnsi="Times New Roman" w:cs="Times New Roman"/>
          <w:sz w:val="24"/>
          <w:szCs w:val="24"/>
        </w:rPr>
        <w:t xml:space="preserve">As a result, they may choose to stay home. </w:t>
      </w:r>
    </w:p>
    <w:p w:rsidR="003A18FF" w:rsidRPr="008C24FC"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Even Social Security carries work disincentives for married women. Social Security benefits are funded by a payroll tax and based on earnings.</w:t>
      </w:r>
      <w:r>
        <w:rPr>
          <w:rFonts w:ascii="Times New Roman" w:hAnsi="Times New Roman" w:cs="Times New Roman"/>
          <w:sz w:val="24"/>
          <w:szCs w:val="24"/>
        </w:rPr>
        <w:t xml:space="preserve"> </w:t>
      </w:r>
      <w:r w:rsidRPr="00617196">
        <w:rPr>
          <w:rFonts w:ascii="Times New Roman" w:hAnsi="Times New Roman" w:cs="Times New Roman"/>
          <w:sz w:val="24"/>
          <w:szCs w:val="24"/>
        </w:rPr>
        <w:t xml:space="preserve">For married couples, Social Security </w:t>
      </w:r>
      <w:r w:rsidRPr="00617196">
        <w:rPr>
          <w:rFonts w:ascii="Times New Roman" w:hAnsi="Times New Roman" w:cs="Times New Roman"/>
          <w:sz w:val="24"/>
          <w:szCs w:val="24"/>
        </w:rPr>
        <w:lastRenderedPageBreak/>
        <w:t>benefits are based on whichever spouse earned more (which tends to be the husband). As a result, married women tend to receive the same Social Security benefits whether or not they work</w:t>
      </w:r>
      <w:r>
        <w:rPr>
          <w:rFonts w:ascii="Times New Roman" w:hAnsi="Times New Roman" w:cs="Times New Roman"/>
          <w:sz w:val="24"/>
          <w:szCs w:val="24"/>
        </w:rPr>
        <w:t>, b</w:t>
      </w:r>
      <w:r w:rsidRPr="00617196">
        <w:rPr>
          <w:rFonts w:ascii="Times New Roman" w:hAnsi="Times New Roman" w:cs="Times New Roman"/>
          <w:sz w:val="24"/>
          <w:szCs w:val="24"/>
        </w:rPr>
        <w:t>ut if they work, they are subject to a payroll tax. This, not surprisingly, discourages married women from working.</w:t>
      </w:r>
      <w:r w:rsidR="000C674A">
        <w:rPr>
          <w:rStyle w:val="FootnoteReference"/>
          <w:rFonts w:ascii="Times New Roman" w:hAnsi="Times New Roman" w:cs="Times New Roman"/>
          <w:sz w:val="24"/>
          <w:szCs w:val="24"/>
        </w:rPr>
        <w:footnoteReference w:id="72"/>
      </w:r>
    </w:p>
    <w:p w:rsidR="003A18FF" w:rsidRPr="00617196" w:rsidRDefault="003A18FF" w:rsidP="003A18FF">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ab/>
      </w:r>
      <w:r w:rsidRPr="00617196">
        <w:rPr>
          <w:rFonts w:ascii="Times New Roman" w:hAnsi="Times New Roman" w:cs="Times New Roman"/>
          <w:sz w:val="24"/>
          <w:szCs w:val="24"/>
        </w:rPr>
        <w:t xml:space="preserve"> </w:t>
      </w:r>
    </w:p>
    <w:p w:rsidR="003A18FF" w:rsidRPr="00617196" w:rsidRDefault="003A18FF" w:rsidP="003A18FF">
      <w:pPr>
        <w:spacing w:after="0" w:line="360" w:lineRule="auto"/>
        <w:jc w:val="both"/>
        <w:rPr>
          <w:rFonts w:ascii="Times New Roman" w:eastAsia="Times New Roman" w:hAnsi="Times New Roman" w:cs="Times New Roman"/>
          <w:sz w:val="24"/>
          <w:szCs w:val="24"/>
        </w:rPr>
      </w:pPr>
      <w:r w:rsidRPr="00A371DD">
        <w:rPr>
          <w:rFonts w:ascii="Times New Roman" w:hAnsi="Times New Roman" w:cs="Times New Roman"/>
          <w:i/>
          <w:color w:val="000000" w:themeColor="text1"/>
          <w:sz w:val="24"/>
          <w:szCs w:val="24"/>
        </w:rPr>
        <w:t xml:space="preserve"> </w:t>
      </w:r>
      <w:r w:rsidRPr="00A371DD">
        <w:rPr>
          <w:rFonts w:ascii="Times New Roman" w:hAnsi="Times New Roman" w:cs="Times New Roman"/>
          <w:i/>
          <w:sz w:val="24"/>
          <w:szCs w:val="24"/>
        </w:rPr>
        <w:t>Child Care Costs:</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 xml:space="preserve">Child care is a significant and growing expense for many families. In 2011, </w:t>
      </w:r>
      <w:r>
        <w:rPr>
          <w:rFonts w:ascii="Times New Roman" w:hAnsi="Times New Roman" w:cs="Times New Roman"/>
          <w:color w:val="000000" w:themeColor="text1"/>
          <w:sz w:val="24"/>
          <w:szCs w:val="24"/>
        </w:rPr>
        <w:t>61</w:t>
      </w:r>
      <w:r w:rsidRPr="00617196">
        <w:rPr>
          <w:rFonts w:ascii="Times New Roman" w:hAnsi="Times New Roman" w:cs="Times New Roman"/>
          <w:color w:val="000000" w:themeColor="text1"/>
          <w:sz w:val="24"/>
          <w:szCs w:val="24"/>
        </w:rPr>
        <w:t xml:space="preserve"> percent of children under the age of </w:t>
      </w:r>
      <w:r>
        <w:rPr>
          <w:rFonts w:ascii="Times New Roman" w:hAnsi="Times New Roman" w:cs="Times New Roman"/>
          <w:color w:val="000000" w:themeColor="text1"/>
          <w:sz w:val="24"/>
          <w:szCs w:val="24"/>
        </w:rPr>
        <w:t>five</w:t>
      </w:r>
      <w:r w:rsidRPr="00617196">
        <w:rPr>
          <w:rFonts w:ascii="Times New Roman" w:hAnsi="Times New Roman" w:cs="Times New Roman"/>
          <w:color w:val="000000" w:themeColor="text1"/>
          <w:sz w:val="24"/>
          <w:szCs w:val="24"/>
        </w:rPr>
        <w:t xml:space="preserve"> in the US were in some regular child care arrangement.</w:t>
      </w:r>
      <w:r w:rsidR="0017070A">
        <w:rPr>
          <w:rStyle w:val="FootnoteReference"/>
          <w:rFonts w:ascii="Times New Roman" w:hAnsi="Times New Roman" w:cs="Times New Roman"/>
          <w:color w:val="000000" w:themeColor="text1"/>
          <w:sz w:val="24"/>
          <w:szCs w:val="24"/>
        </w:rPr>
        <w:footnoteReference w:id="73"/>
      </w:r>
      <w:r>
        <w:rPr>
          <w:rFonts w:ascii="Times New Roman" w:hAnsi="Times New Roman" w:cs="Times New Roman"/>
          <w:color w:val="000000" w:themeColor="text1"/>
          <w:sz w:val="24"/>
          <w:szCs w:val="24"/>
        </w:rPr>
        <w:t xml:space="preserve"> </w:t>
      </w:r>
      <w:r w:rsidRPr="00617196">
        <w:rPr>
          <w:rFonts w:ascii="Times New Roman" w:eastAsia="Times New Roman" w:hAnsi="Times New Roman" w:cs="Times New Roman"/>
          <w:sz w:val="24"/>
          <w:szCs w:val="24"/>
        </w:rPr>
        <w:t>Families with an employed mother and young children paid $143 per week on average for child care, up from $84 in 1985, according to the Census Bureau.</w:t>
      </w:r>
      <w:r w:rsidR="0017070A">
        <w:rPr>
          <w:rStyle w:val="FootnoteReference"/>
          <w:rFonts w:ascii="Times New Roman" w:eastAsia="Times New Roman" w:hAnsi="Times New Roman" w:cs="Times New Roman"/>
          <w:sz w:val="24"/>
          <w:szCs w:val="24"/>
        </w:rPr>
        <w:footnoteReference w:id="74"/>
      </w:r>
      <w:r w:rsidRPr="00617196">
        <w:rPr>
          <w:rFonts w:ascii="Times New Roman" w:eastAsia="Times New Roman" w:hAnsi="Times New Roman" w:cs="Times New Roman"/>
          <w:sz w:val="24"/>
          <w:szCs w:val="24"/>
        </w:rPr>
        <w:t xml:space="preserve"> This adds up to roughly 7 percent of family income being spent on child care.</w:t>
      </w:r>
      <w:r>
        <w:rPr>
          <w:rFonts w:ascii="Times New Roman" w:eastAsia="Times New Roman" w:hAnsi="Times New Roman" w:cs="Times New Roman"/>
          <w:sz w:val="24"/>
          <w:szCs w:val="24"/>
        </w:rPr>
        <w:t xml:space="preserve"> </w:t>
      </w:r>
      <w:r w:rsidRPr="00617196">
        <w:rPr>
          <w:rFonts w:ascii="Times New Roman" w:eastAsia="Times New Roman" w:hAnsi="Times New Roman" w:cs="Times New Roman"/>
          <w:sz w:val="24"/>
          <w:szCs w:val="24"/>
        </w:rPr>
        <w:t>For families in poverty, child care can consume 30 percent or more of their monthly income.</w:t>
      </w:r>
      <w:r w:rsidR="0017070A">
        <w:rPr>
          <w:rStyle w:val="FootnoteReference"/>
          <w:rFonts w:ascii="Times New Roman" w:eastAsia="Times New Roman" w:hAnsi="Times New Roman" w:cs="Times New Roman"/>
          <w:sz w:val="24"/>
          <w:szCs w:val="24"/>
        </w:rPr>
        <w:footnoteReference w:id="75"/>
      </w:r>
    </w:p>
    <w:p w:rsidR="003A18FF" w:rsidRDefault="003A18FF" w:rsidP="003A18FF">
      <w:pPr>
        <w:spacing w:after="0" w:line="360" w:lineRule="auto"/>
        <w:ind w:firstLine="720"/>
        <w:jc w:val="both"/>
        <w:rPr>
          <w:rFonts w:ascii="Times New Roman" w:hAnsi="Times New Roman" w:cs="Times New Roman"/>
          <w:color w:val="000000" w:themeColor="text1"/>
          <w:sz w:val="24"/>
          <w:szCs w:val="24"/>
        </w:rPr>
      </w:pPr>
      <w:r w:rsidRPr="00617196">
        <w:rPr>
          <w:rFonts w:ascii="Times New Roman" w:eastAsia="Times New Roman" w:hAnsi="Times New Roman" w:cs="Times New Roman"/>
          <w:sz w:val="24"/>
          <w:szCs w:val="24"/>
        </w:rPr>
        <w:t>As the cost of child care increases, many mothers with young children may decide to leave the labor force to care for children or scale back the hours they work to balance household responsibilities.</w:t>
      </w:r>
      <w:r>
        <w:rPr>
          <w:rFonts w:ascii="Times New Roman" w:eastAsia="Times New Roman" w:hAnsi="Times New Roman" w:cs="Times New Roman"/>
          <w:sz w:val="24"/>
          <w:szCs w:val="24"/>
        </w:rPr>
        <w:t xml:space="preserve"> </w:t>
      </w:r>
      <w:r w:rsidRPr="00617196">
        <w:rPr>
          <w:rFonts w:ascii="Times New Roman" w:eastAsia="Times New Roman" w:hAnsi="Times New Roman" w:cs="Times New Roman"/>
          <w:sz w:val="24"/>
          <w:szCs w:val="24"/>
        </w:rPr>
        <w:t xml:space="preserve">There is a large literature showing </w:t>
      </w:r>
      <w:r w:rsidRPr="00617196">
        <w:rPr>
          <w:rFonts w:ascii="Times New Roman" w:hAnsi="Times New Roman" w:cs="Times New Roman"/>
          <w:color w:val="000000" w:themeColor="text1"/>
          <w:sz w:val="24"/>
          <w:szCs w:val="24"/>
        </w:rPr>
        <w:t>the impact of child care costs on mothers’ labor market decisions, specifically that high child care costs are associated with less work, while subsidized child care costs are associated with more work.</w:t>
      </w:r>
      <w:r w:rsidR="005B33EF">
        <w:rPr>
          <w:rStyle w:val="FootnoteReference"/>
          <w:rFonts w:ascii="Times New Roman" w:hAnsi="Times New Roman" w:cs="Times New Roman"/>
          <w:color w:val="000000" w:themeColor="text1"/>
          <w:sz w:val="24"/>
          <w:szCs w:val="24"/>
        </w:rPr>
        <w:footnoteReference w:id="76"/>
      </w:r>
    </w:p>
    <w:p w:rsidR="003A18FF" w:rsidRDefault="003A18FF" w:rsidP="003A18FF">
      <w:pPr>
        <w:spacing w:after="0" w:line="360" w:lineRule="auto"/>
        <w:ind w:firstLine="720"/>
        <w:jc w:val="both"/>
        <w:rPr>
          <w:rFonts w:ascii="Times New Roman" w:hAnsi="Times New Roman" w:cs="Times New Roman"/>
          <w:color w:val="000000" w:themeColor="text1"/>
          <w:sz w:val="24"/>
          <w:szCs w:val="24"/>
        </w:rPr>
      </w:pPr>
      <w:r w:rsidRPr="00617196">
        <w:rPr>
          <w:rFonts w:ascii="Times New Roman" w:hAnsi="Times New Roman" w:cs="Times New Roman"/>
          <w:color w:val="000000" w:themeColor="text1"/>
          <w:sz w:val="24"/>
          <w:szCs w:val="24"/>
        </w:rPr>
        <w:lastRenderedPageBreak/>
        <w:t xml:space="preserve">For example, using data from the 1999 National Survey of America’s Families, </w:t>
      </w:r>
      <w:proofErr w:type="spellStart"/>
      <w:r w:rsidRPr="00617196">
        <w:rPr>
          <w:rFonts w:ascii="Times New Roman" w:hAnsi="Times New Roman" w:cs="Times New Roman"/>
          <w:color w:val="000000" w:themeColor="text1"/>
          <w:sz w:val="24"/>
          <w:szCs w:val="24"/>
        </w:rPr>
        <w:t>Blau</w:t>
      </w:r>
      <w:proofErr w:type="spellEnd"/>
      <w:r w:rsidRPr="00617196">
        <w:rPr>
          <w:rFonts w:ascii="Times New Roman" w:hAnsi="Times New Roman" w:cs="Times New Roman"/>
          <w:color w:val="000000" w:themeColor="text1"/>
          <w:sz w:val="24"/>
          <w:szCs w:val="24"/>
        </w:rPr>
        <w:t xml:space="preserve"> and </w:t>
      </w:r>
      <w:proofErr w:type="spellStart"/>
      <w:r w:rsidRPr="00617196">
        <w:rPr>
          <w:rFonts w:ascii="Times New Roman" w:hAnsi="Times New Roman" w:cs="Times New Roman"/>
          <w:color w:val="000000" w:themeColor="text1"/>
          <w:sz w:val="24"/>
          <w:szCs w:val="24"/>
        </w:rPr>
        <w:t>Tekin</w:t>
      </w:r>
      <w:proofErr w:type="spellEnd"/>
      <w:r w:rsidR="008A4602">
        <w:rPr>
          <w:rFonts w:ascii="Times New Roman" w:hAnsi="Times New Roman" w:cs="Times New Roman"/>
          <w:color w:val="000000" w:themeColor="text1"/>
          <w:sz w:val="24"/>
          <w:szCs w:val="24"/>
        </w:rPr>
        <w:t xml:space="preserve"> (2003)</w:t>
      </w:r>
      <w:r w:rsidRPr="00617196">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the child care subsidies in current welfare programs are associated with a 13</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percentage</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point increase in the likelihood of employment</w:t>
      </w:r>
      <w:r w:rsidRPr="00617196">
        <w:rPr>
          <w:rFonts w:ascii="Times New Roman" w:eastAsia="Times New Roman" w:hAnsi="Times New Roman" w:cs="Times New Roman"/>
          <w:sz w:val="24"/>
          <w:szCs w:val="24"/>
        </w:rPr>
        <w:t>.</w:t>
      </w:r>
      <w:r w:rsidR="005B33EF">
        <w:rPr>
          <w:rStyle w:val="FootnoteReference"/>
          <w:rFonts w:ascii="Times New Roman" w:eastAsia="Times New Roman" w:hAnsi="Times New Roman" w:cs="Times New Roman"/>
          <w:sz w:val="24"/>
          <w:szCs w:val="24"/>
        </w:rPr>
        <w:footnoteReference w:id="77"/>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Baker, Gruber, and Milligan stud</w:t>
      </w:r>
      <w:r>
        <w:rPr>
          <w:rFonts w:ascii="Times New Roman" w:hAnsi="Times New Roman" w:cs="Times New Roman"/>
          <w:color w:val="000000" w:themeColor="text1"/>
          <w:sz w:val="24"/>
          <w:szCs w:val="24"/>
        </w:rPr>
        <w:t>ied</w:t>
      </w:r>
      <w:r w:rsidRPr="00617196">
        <w:rPr>
          <w:rFonts w:ascii="Times New Roman" w:hAnsi="Times New Roman" w:cs="Times New Roman"/>
          <w:color w:val="000000" w:themeColor="text1"/>
          <w:sz w:val="24"/>
          <w:szCs w:val="24"/>
        </w:rPr>
        <w:t xml:space="preserve"> the introduction of universal highly subsidized child</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care in Quebec in the late 1990s and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highly significant labor supply effects.</w:t>
      </w:r>
      <w:r w:rsidR="00113223">
        <w:rPr>
          <w:rStyle w:val="FootnoteReference"/>
          <w:rFonts w:ascii="Times New Roman" w:hAnsi="Times New Roman" w:cs="Times New Roman"/>
          <w:color w:val="000000" w:themeColor="text1"/>
          <w:sz w:val="24"/>
          <w:szCs w:val="24"/>
        </w:rPr>
        <w:footnoteReference w:id="78"/>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Berger and Black evaluate</w:t>
      </w:r>
      <w:r>
        <w:rPr>
          <w:rFonts w:ascii="Times New Roman" w:hAnsi="Times New Roman" w:cs="Times New Roman"/>
          <w:color w:val="000000" w:themeColor="text1"/>
          <w:sz w:val="24"/>
          <w:szCs w:val="24"/>
        </w:rPr>
        <w:t>d</w:t>
      </w:r>
      <w:r w:rsidRPr="00617196">
        <w:rPr>
          <w:rFonts w:ascii="Times New Roman" w:hAnsi="Times New Roman" w:cs="Times New Roman"/>
          <w:color w:val="000000" w:themeColor="text1"/>
          <w:sz w:val="24"/>
          <w:szCs w:val="24"/>
        </w:rPr>
        <w:t xml:space="preserve"> the employment impact of two Kentucky child care subsidy programs.</w:t>
      </w:r>
      <w:r w:rsidR="00113223">
        <w:rPr>
          <w:rStyle w:val="FootnoteReference"/>
          <w:rFonts w:ascii="Times New Roman" w:hAnsi="Times New Roman" w:cs="Times New Roman"/>
          <w:color w:val="000000" w:themeColor="text1"/>
          <w:sz w:val="24"/>
          <w:szCs w:val="24"/>
        </w:rPr>
        <w:footnoteReference w:id="79"/>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They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a weekly subsidy of $46 increased maternal employment by 8.4 to 25.3 percent.</w:t>
      </w:r>
      <w:r>
        <w:rPr>
          <w:rFonts w:ascii="Times New Roman" w:hAnsi="Times New Roman" w:cs="Times New Roman"/>
          <w:color w:val="000000" w:themeColor="text1"/>
          <w:sz w:val="24"/>
          <w:szCs w:val="24"/>
        </w:rPr>
        <w:t xml:space="preserve"> </w:t>
      </w:r>
    </w:p>
    <w:p w:rsidR="003A18FF" w:rsidRPr="00750DF8" w:rsidRDefault="003A18FF" w:rsidP="003A18FF">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Also, work</w:t>
      </w:r>
      <w:r w:rsidRPr="00617196">
        <w:rPr>
          <w:rFonts w:ascii="Times New Roman" w:hAnsi="Times New Roman" w:cs="Times New Roman"/>
          <w:color w:val="000000" w:themeColor="text1"/>
          <w:sz w:val="24"/>
          <w:szCs w:val="24"/>
        </w:rPr>
        <w:t xml:space="preserve"> effects are </w:t>
      </w:r>
      <w:r>
        <w:rPr>
          <w:rFonts w:ascii="Times New Roman" w:hAnsi="Times New Roman" w:cs="Times New Roman"/>
          <w:color w:val="000000" w:themeColor="text1"/>
          <w:sz w:val="24"/>
          <w:szCs w:val="24"/>
        </w:rPr>
        <w:t>stronger</w:t>
      </w:r>
      <w:r w:rsidRPr="00617196">
        <w:rPr>
          <w:rFonts w:ascii="Times New Roman" w:hAnsi="Times New Roman" w:cs="Times New Roman"/>
          <w:color w:val="000000" w:themeColor="text1"/>
          <w:sz w:val="24"/>
          <w:szCs w:val="24"/>
        </w:rPr>
        <w:t xml:space="preserve"> on the extensive </w:t>
      </w:r>
      <w:r>
        <w:rPr>
          <w:rFonts w:ascii="Times New Roman" w:hAnsi="Times New Roman" w:cs="Times New Roman"/>
          <w:color w:val="000000" w:themeColor="text1"/>
          <w:sz w:val="24"/>
          <w:szCs w:val="24"/>
        </w:rPr>
        <w:t>than</w:t>
      </w:r>
      <w:r w:rsidRPr="00617196">
        <w:rPr>
          <w:rFonts w:ascii="Times New Roman" w:hAnsi="Times New Roman" w:cs="Times New Roman"/>
          <w:color w:val="000000" w:themeColor="text1"/>
          <w:sz w:val="24"/>
          <w:szCs w:val="24"/>
        </w:rPr>
        <w:t xml:space="preserve"> the intensive margin, meaning that the subsidies make it more likely that low-income single mothers work</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 xml:space="preserve"> but have little effect on hours worked.</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 xml:space="preserve">Compton and </w:t>
      </w:r>
      <w:proofErr w:type="spellStart"/>
      <w:r w:rsidRPr="00617196">
        <w:rPr>
          <w:rFonts w:ascii="Times New Roman" w:hAnsi="Times New Roman" w:cs="Times New Roman"/>
          <w:color w:val="000000" w:themeColor="text1"/>
          <w:sz w:val="24"/>
          <w:szCs w:val="24"/>
        </w:rPr>
        <w:t>Pollak</w:t>
      </w:r>
      <w:proofErr w:type="spellEnd"/>
      <w:r w:rsidRPr="00617196">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married women’s geographical proximity to their mothers or mothers-in-law </w:t>
      </w:r>
      <w:r>
        <w:rPr>
          <w:rFonts w:ascii="Times New Roman" w:hAnsi="Times New Roman" w:cs="Times New Roman"/>
          <w:color w:val="000000" w:themeColor="text1"/>
          <w:sz w:val="24"/>
          <w:szCs w:val="24"/>
        </w:rPr>
        <w:t>improves</w:t>
      </w:r>
      <w:r w:rsidRPr="00617196">
        <w:rPr>
          <w:rFonts w:ascii="Times New Roman" w:hAnsi="Times New Roman" w:cs="Times New Roman"/>
          <w:color w:val="000000" w:themeColor="text1"/>
          <w:sz w:val="24"/>
          <w:szCs w:val="24"/>
        </w:rPr>
        <w:t xml:space="preserve"> their labor supply, which </w:t>
      </w:r>
      <w:r>
        <w:rPr>
          <w:rFonts w:ascii="Times New Roman" w:hAnsi="Times New Roman" w:cs="Times New Roman"/>
          <w:color w:val="000000" w:themeColor="text1"/>
          <w:sz w:val="24"/>
          <w:szCs w:val="24"/>
        </w:rPr>
        <w:t>they use as a proxy</w:t>
      </w:r>
      <w:r w:rsidRPr="00617196">
        <w:rPr>
          <w:rFonts w:ascii="Times New Roman" w:hAnsi="Times New Roman" w:cs="Times New Roman"/>
          <w:color w:val="000000" w:themeColor="text1"/>
          <w:sz w:val="24"/>
          <w:szCs w:val="24"/>
        </w:rPr>
        <w:t xml:space="preserve"> of child care.</w:t>
      </w:r>
      <w:r w:rsidR="00337F27">
        <w:rPr>
          <w:rStyle w:val="FootnoteReference"/>
          <w:rFonts w:ascii="Times New Roman" w:hAnsi="Times New Roman" w:cs="Times New Roman"/>
          <w:color w:val="000000" w:themeColor="text1"/>
          <w:sz w:val="24"/>
          <w:szCs w:val="24"/>
        </w:rPr>
        <w:footnoteReference w:id="80"/>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Meyer and Rosenbaum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higher expenditures on child care are associated with higher employment rates for single mothers.</w:t>
      </w:r>
      <w:r w:rsidR="00F81F35">
        <w:rPr>
          <w:rStyle w:val="FootnoteReference"/>
          <w:rFonts w:ascii="Times New Roman" w:hAnsi="Times New Roman" w:cs="Times New Roman"/>
          <w:color w:val="000000" w:themeColor="text1"/>
          <w:sz w:val="24"/>
          <w:szCs w:val="24"/>
        </w:rPr>
        <w:footnoteReference w:id="81"/>
      </w:r>
    </w:p>
    <w:p w:rsidR="003A18FF" w:rsidRPr="00617196" w:rsidRDefault="003A18FF" w:rsidP="003A18FF">
      <w:pPr>
        <w:spacing w:after="0" w:line="360" w:lineRule="auto"/>
        <w:ind w:firstLine="720"/>
        <w:jc w:val="both"/>
        <w:rPr>
          <w:rFonts w:ascii="Times New Roman" w:hAnsi="Times New Roman" w:cs="Times New Roman"/>
          <w:color w:val="000000" w:themeColor="text1"/>
          <w:sz w:val="24"/>
          <w:szCs w:val="24"/>
        </w:rPr>
      </w:pPr>
      <w:r w:rsidRPr="00617196">
        <w:rPr>
          <w:rFonts w:ascii="Times New Roman" w:hAnsi="Times New Roman" w:cs="Times New Roman"/>
          <w:color w:val="000000" w:themeColor="text1"/>
          <w:sz w:val="24"/>
          <w:szCs w:val="24"/>
        </w:rPr>
        <w:t xml:space="preserve">On average, married mothers are </w:t>
      </w:r>
      <w:r>
        <w:rPr>
          <w:rFonts w:ascii="Times New Roman" w:hAnsi="Times New Roman" w:cs="Times New Roman"/>
          <w:color w:val="000000" w:themeColor="text1"/>
          <w:sz w:val="24"/>
          <w:szCs w:val="24"/>
        </w:rPr>
        <w:t>more likely to leave the labor force because of child care costs</w:t>
      </w:r>
      <w:r w:rsidRPr="00617196">
        <w:rPr>
          <w:rFonts w:ascii="Times New Roman" w:hAnsi="Times New Roman" w:cs="Times New Roman"/>
          <w:color w:val="000000" w:themeColor="text1"/>
          <w:sz w:val="24"/>
          <w:szCs w:val="24"/>
        </w:rPr>
        <w:t xml:space="preserve"> than single mothers, </w:t>
      </w:r>
      <w:r>
        <w:rPr>
          <w:rFonts w:ascii="Times New Roman" w:hAnsi="Times New Roman" w:cs="Times New Roman"/>
          <w:color w:val="000000" w:themeColor="text1"/>
          <w:sz w:val="24"/>
          <w:szCs w:val="24"/>
        </w:rPr>
        <w:t>largely</w:t>
      </w:r>
      <w:r w:rsidRPr="00617196">
        <w:rPr>
          <w:rFonts w:ascii="Times New Roman" w:hAnsi="Times New Roman" w:cs="Times New Roman"/>
          <w:color w:val="000000" w:themeColor="text1"/>
          <w:sz w:val="24"/>
          <w:szCs w:val="24"/>
        </w:rPr>
        <w:t xml:space="preserve"> because single mothers </w:t>
      </w:r>
      <w:r>
        <w:rPr>
          <w:rFonts w:ascii="Times New Roman" w:hAnsi="Times New Roman" w:cs="Times New Roman"/>
          <w:color w:val="000000" w:themeColor="text1"/>
          <w:sz w:val="24"/>
          <w:szCs w:val="24"/>
        </w:rPr>
        <w:t>are usually the only source of income in their household</w:t>
      </w:r>
      <w:r w:rsidRPr="00617196">
        <w:rPr>
          <w:rFonts w:ascii="Times New Roman" w:hAnsi="Times New Roman" w:cs="Times New Roman"/>
          <w:color w:val="000000" w:themeColor="text1"/>
          <w:sz w:val="24"/>
          <w:szCs w:val="24"/>
        </w:rPr>
        <w:t>, whereas married mothers may have another wage</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earner in the household.</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In a review of the literature, Kimmel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the estimated child price </w:t>
      </w:r>
      <w:proofErr w:type="spellStart"/>
      <w:r w:rsidRPr="00617196">
        <w:rPr>
          <w:rFonts w:ascii="Times New Roman" w:hAnsi="Times New Roman" w:cs="Times New Roman"/>
          <w:color w:val="000000" w:themeColor="text1"/>
          <w:sz w:val="24"/>
          <w:szCs w:val="24"/>
        </w:rPr>
        <w:t>elasticities</w:t>
      </w:r>
      <w:proofErr w:type="spellEnd"/>
      <w:r w:rsidRPr="00617196">
        <w:rPr>
          <w:rFonts w:ascii="Times New Roman" w:hAnsi="Times New Roman" w:cs="Times New Roman"/>
          <w:color w:val="000000" w:themeColor="text1"/>
          <w:sz w:val="24"/>
          <w:szCs w:val="24"/>
        </w:rPr>
        <w:t xml:space="preserve"> of employment for married women range anywhere from </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 xml:space="preserve">0.74 to </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0.2, with most estimates falling in the middle.</w:t>
      </w:r>
      <w:r w:rsidR="00F81F35">
        <w:rPr>
          <w:rStyle w:val="FootnoteReference"/>
          <w:rFonts w:ascii="Times New Roman" w:hAnsi="Times New Roman" w:cs="Times New Roman"/>
          <w:color w:val="000000" w:themeColor="text1"/>
          <w:sz w:val="24"/>
          <w:szCs w:val="24"/>
        </w:rPr>
        <w:footnoteReference w:id="82"/>
      </w:r>
      <w:r w:rsidRPr="00617196">
        <w:rPr>
          <w:rFonts w:ascii="Times New Roman" w:hAnsi="Times New Roman" w:cs="Times New Roman"/>
          <w:color w:val="000000" w:themeColor="text1"/>
          <w:sz w:val="24"/>
          <w:szCs w:val="24"/>
        </w:rPr>
        <w:t xml:space="preserve"> This means that a 10 percent increase in child care costs is associated with a 7.4 percent decline in workforce participation.</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Kimmel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most elasticity estimates for single mothers are close to zero.</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 xml:space="preserve">That said, low-income single mothers may be </w:t>
      </w:r>
      <w:r w:rsidRPr="00617196">
        <w:rPr>
          <w:rFonts w:ascii="Times New Roman" w:hAnsi="Times New Roman" w:cs="Times New Roman"/>
          <w:color w:val="000000" w:themeColor="text1"/>
          <w:sz w:val="24"/>
          <w:szCs w:val="24"/>
        </w:rPr>
        <w:lastRenderedPageBreak/>
        <w:t>more sensitive to child care costs than single mothers generally, which can be attributed to welfare eligibility or a payment stream aside from work.</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In one of Kimmel’s earlier studies, he f</w:t>
      </w:r>
      <w:r>
        <w:rPr>
          <w:rFonts w:ascii="Times New Roman" w:hAnsi="Times New Roman" w:cs="Times New Roman"/>
          <w:color w:val="000000" w:themeColor="text1"/>
          <w:sz w:val="24"/>
          <w:szCs w:val="24"/>
        </w:rPr>
        <w:t>ound</w:t>
      </w:r>
      <w:r w:rsidRPr="00617196">
        <w:rPr>
          <w:rFonts w:ascii="Times New Roman" w:hAnsi="Times New Roman" w:cs="Times New Roman"/>
          <w:color w:val="000000" w:themeColor="text1"/>
          <w:sz w:val="24"/>
          <w:szCs w:val="24"/>
        </w:rPr>
        <w:t xml:space="preserve"> that the labor supply elasticity of child care costs for low-income, unmarried white mothers can reach </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0.35.</w:t>
      </w:r>
      <w:r w:rsidR="00F81F35">
        <w:rPr>
          <w:rStyle w:val="FootnoteReference"/>
          <w:rFonts w:ascii="Times New Roman" w:hAnsi="Times New Roman" w:cs="Times New Roman"/>
          <w:color w:val="000000" w:themeColor="text1"/>
          <w:sz w:val="24"/>
          <w:szCs w:val="24"/>
        </w:rPr>
        <w:footnoteReference w:id="83"/>
      </w:r>
      <w:r>
        <w:rPr>
          <w:rFonts w:ascii="Times New Roman" w:hAnsi="Times New Roman" w:cs="Times New Roman"/>
          <w:color w:val="000000" w:themeColor="text1"/>
          <w:sz w:val="24"/>
          <w:szCs w:val="24"/>
        </w:rPr>
        <w:t xml:space="preserve"> </w:t>
      </w:r>
    </w:p>
    <w:p w:rsidR="003A18FF"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As this literature demonstrates, child care has a significant impact on female workforce participation. Consequently, the rising cost of child care severely limits economic opportunit</w:t>
      </w:r>
      <w:r>
        <w:rPr>
          <w:rFonts w:ascii="Times New Roman" w:hAnsi="Times New Roman" w:cs="Times New Roman"/>
          <w:sz w:val="24"/>
          <w:szCs w:val="24"/>
        </w:rPr>
        <w:t>ies</w:t>
      </w:r>
      <w:r w:rsidRPr="00617196">
        <w:rPr>
          <w:rFonts w:ascii="Times New Roman" w:hAnsi="Times New Roman" w:cs="Times New Roman"/>
          <w:sz w:val="24"/>
          <w:szCs w:val="24"/>
        </w:rPr>
        <w:t xml:space="preserve"> available to women, who disproportionately leave the workforce as child care becomes more expensive</w:t>
      </w:r>
      <w:r>
        <w:rPr>
          <w:rFonts w:ascii="Times New Roman" w:hAnsi="Times New Roman" w:cs="Times New Roman"/>
          <w:sz w:val="24"/>
          <w:szCs w:val="24"/>
        </w:rPr>
        <w:t xml:space="preserve"> or choose jobs with greater flexibility at the expense of pay and promotion.</w:t>
      </w:r>
    </w:p>
    <w:p w:rsidR="003A18FF" w:rsidRPr="00D45CB8" w:rsidRDefault="003A18FF" w:rsidP="003A18FF">
      <w:pPr>
        <w:spacing w:after="0" w:line="360" w:lineRule="auto"/>
        <w:ind w:firstLine="720"/>
        <w:jc w:val="both"/>
        <w:rPr>
          <w:rFonts w:ascii="Times New Roman" w:hAnsi="Times New Roman" w:cs="Times New Roman"/>
          <w:sz w:val="24"/>
          <w:szCs w:val="24"/>
        </w:rPr>
      </w:pPr>
      <w:r w:rsidRPr="00D45CB8">
        <w:rPr>
          <w:rFonts w:ascii="Times New Roman" w:hAnsi="Times New Roman" w:cs="Times New Roman"/>
          <w:sz w:val="24"/>
          <w:szCs w:val="24"/>
        </w:rPr>
        <w:t>There is significant agreement that work is a vital component of economic opportunity and that work incentives are a vital part of assistance programs. Expanding support for child care accomplishes both objectives. Additionally, the lack of affordable child care options has a significant impact on women’s professional trajectories</w:t>
      </w:r>
      <w:r>
        <w:rPr>
          <w:rFonts w:ascii="Times New Roman" w:hAnsi="Times New Roman" w:cs="Times New Roman"/>
          <w:sz w:val="24"/>
          <w:szCs w:val="24"/>
        </w:rPr>
        <w:t>, keeping many women in low-paying, low-promotion jobs or out of the work force entirely.</w:t>
      </w:r>
    </w:p>
    <w:p w:rsidR="003A18FF" w:rsidRDefault="00B82D66" w:rsidP="003A18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our paper, my colleague and I </w:t>
      </w:r>
      <w:r w:rsidR="003A18FF" w:rsidRPr="00D45CB8">
        <w:rPr>
          <w:rFonts w:ascii="Times New Roman" w:hAnsi="Times New Roman" w:cs="Times New Roman"/>
          <w:sz w:val="24"/>
          <w:szCs w:val="24"/>
        </w:rPr>
        <w:t xml:space="preserve">propose streamlining the current child care subsidies and tax credits, which are needlessly confusing, have low recipient rates, and leave out many low-income women who need </w:t>
      </w:r>
      <w:r w:rsidR="003A18FF">
        <w:rPr>
          <w:rFonts w:ascii="Times New Roman" w:hAnsi="Times New Roman" w:cs="Times New Roman"/>
          <w:sz w:val="24"/>
          <w:szCs w:val="24"/>
        </w:rPr>
        <w:t>them</w:t>
      </w:r>
      <w:r w:rsidR="003A18FF" w:rsidRPr="00D45CB8">
        <w:rPr>
          <w:rFonts w:ascii="Times New Roman" w:hAnsi="Times New Roman" w:cs="Times New Roman"/>
          <w:sz w:val="24"/>
          <w:szCs w:val="24"/>
        </w:rPr>
        <w:t xml:space="preserve"> the most. The core of our proposal is to substantially increase the </w:t>
      </w:r>
      <w:r w:rsidR="003A18FF">
        <w:rPr>
          <w:rFonts w:ascii="Times New Roman" w:hAnsi="Times New Roman" w:cs="Times New Roman"/>
          <w:sz w:val="24"/>
          <w:szCs w:val="24"/>
        </w:rPr>
        <w:t>amount</w:t>
      </w:r>
      <w:r w:rsidR="003A18FF" w:rsidRPr="00D45CB8">
        <w:rPr>
          <w:rFonts w:ascii="Times New Roman" w:hAnsi="Times New Roman" w:cs="Times New Roman"/>
          <w:sz w:val="24"/>
          <w:szCs w:val="24"/>
        </w:rPr>
        <w:t xml:space="preserve"> of the child care tax credit and make it refundable. This would reduce the need for CCDF, and those on</w:t>
      </w:r>
      <w:r w:rsidR="003A18FF" w:rsidRPr="00617196">
        <w:rPr>
          <w:rFonts w:ascii="Times New Roman" w:hAnsi="Times New Roman" w:cs="Times New Roman"/>
          <w:sz w:val="24"/>
          <w:szCs w:val="24"/>
        </w:rPr>
        <w:t xml:space="preserve"> welfare would be given priority for child care. It would eliminate the need for the employer-sponsored tax credit, making child care support available regardless of employer options.</w:t>
      </w:r>
      <w:r w:rsidR="003A18FF">
        <w:rPr>
          <w:rFonts w:ascii="Times New Roman" w:hAnsi="Times New Roman" w:cs="Times New Roman"/>
          <w:sz w:val="24"/>
          <w:szCs w:val="24"/>
        </w:rPr>
        <w:t xml:space="preserve"> </w:t>
      </w:r>
    </w:p>
    <w:p w:rsidR="003A18FF" w:rsidRPr="00617196" w:rsidRDefault="003A18FF" w:rsidP="003A18FF">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Policymakers should also consider supporting child care expenses for educational attainment, presuming education does not become a substitute for work.</w:t>
      </w:r>
      <w:r>
        <w:rPr>
          <w:rFonts w:ascii="Times New Roman" w:hAnsi="Times New Roman" w:cs="Times New Roman"/>
          <w:sz w:val="24"/>
          <w:szCs w:val="24"/>
        </w:rPr>
        <w:t xml:space="preserve"> </w:t>
      </w:r>
      <w:r w:rsidRPr="00617196">
        <w:rPr>
          <w:rFonts w:ascii="Times New Roman" w:hAnsi="Times New Roman" w:cs="Times New Roman"/>
          <w:sz w:val="24"/>
          <w:szCs w:val="24"/>
        </w:rPr>
        <w:t xml:space="preserve">The costs of child care support could be offset in part by increased payroll and income tax collection from the </w:t>
      </w:r>
      <w:r>
        <w:rPr>
          <w:rFonts w:ascii="Times New Roman" w:hAnsi="Times New Roman" w:cs="Times New Roman"/>
          <w:sz w:val="24"/>
          <w:szCs w:val="24"/>
        </w:rPr>
        <w:t>increasing number of</w:t>
      </w:r>
      <w:r w:rsidRPr="00617196">
        <w:rPr>
          <w:rFonts w:ascii="Times New Roman" w:hAnsi="Times New Roman" w:cs="Times New Roman"/>
          <w:sz w:val="24"/>
          <w:szCs w:val="24"/>
        </w:rPr>
        <w:t xml:space="preserve"> working mothers and reduced welfare enrollment.</w:t>
      </w:r>
    </w:p>
    <w:p w:rsidR="003A18FF" w:rsidRPr="00617196" w:rsidRDefault="003A18FF" w:rsidP="003A18FF">
      <w:pPr>
        <w:spacing w:after="0" w:line="360" w:lineRule="auto"/>
        <w:ind w:firstLine="720"/>
        <w:jc w:val="both"/>
        <w:rPr>
          <w:rFonts w:ascii="Times New Roman" w:eastAsia="Times New Roman" w:hAnsi="Times New Roman" w:cs="Times New Roman"/>
          <w:sz w:val="24"/>
          <w:szCs w:val="24"/>
        </w:rPr>
      </w:pPr>
      <w:r w:rsidRPr="00617196">
        <w:rPr>
          <w:rFonts w:ascii="Times New Roman" w:eastAsia="Times New Roman" w:hAnsi="Times New Roman" w:cs="Times New Roman"/>
          <w:sz w:val="24"/>
          <w:szCs w:val="24"/>
        </w:rPr>
        <w:t>Some may argue that child care tax credits or subsidies unfairly reward working parents over those who choose to stay home.</w:t>
      </w:r>
      <w:r>
        <w:rPr>
          <w:rFonts w:ascii="Times New Roman" w:eastAsia="Times New Roman" w:hAnsi="Times New Roman" w:cs="Times New Roman"/>
          <w:sz w:val="24"/>
          <w:szCs w:val="24"/>
        </w:rPr>
        <w:t xml:space="preserve"> </w:t>
      </w:r>
      <w:r w:rsidRPr="00617196">
        <w:rPr>
          <w:rFonts w:ascii="Times New Roman" w:eastAsia="Times New Roman" w:hAnsi="Times New Roman" w:cs="Times New Roman"/>
          <w:sz w:val="24"/>
          <w:szCs w:val="24"/>
        </w:rPr>
        <w:t>However, this is incorrect.</w:t>
      </w:r>
      <w:r>
        <w:rPr>
          <w:rFonts w:ascii="Times New Roman" w:eastAsia="Times New Roman" w:hAnsi="Times New Roman" w:cs="Times New Roman"/>
          <w:sz w:val="24"/>
          <w:szCs w:val="24"/>
        </w:rPr>
        <w:t xml:space="preserve"> </w:t>
      </w:r>
      <w:r w:rsidRPr="00617196">
        <w:rPr>
          <w:rFonts w:ascii="Times New Roman" w:eastAsia="Times New Roman" w:hAnsi="Times New Roman" w:cs="Times New Roman"/>
          <w:sz w:val="24"/>
          <w:szCs w:val="24"/>
        </w:rPr>
        <w:t>Recall that workers pay payroll and income taxes.</w:t>
      </w:r>
      <w:r>
        <w:rPr>
          <w:rFonts w:ascii="Times New Roman" w:eastAsia="Times New Roman" w:hAnsi="Times New Roman" w:cs="Times New Roman"/>
          <w:sz w:val="24"/>
          <w:szCs w:val="24"/>
        </w:rPr>
        <w:t xml:space="preserve"> </w:t>
      </w:r>
      <w:r w:rsidRPr="00617196">
        <w:rPr>
          <w:rFonts w:ascii="Times New Roman" w:eastAsia="Times New Roman" w:hAnsi="Times New Roman" w:cs="Times New Roman"/>
          <w:sz w:val="24"/>
          <w:szCs w:val="24"/>
        </w:rPr>
        <w:t>Allowing tax relief for work-related expense</w:t>
      </w:r>
      <w:r>
        <w:rPr>
          <w:rFonts w:ascii="Times New Roman" w:eastAsia="Times New Roman" w:hAnsi="Times New Roman" w:cs="Times New Roman"/>
          <w:sz w:val="24"/>
          <w:szCs w:val="24"/>
        </w:rPr>
        <w:t>s</w:t>
      </w:r>
      <w:r w:rsidRPr="00617196">
        <w:rPr>
          <w:rFonts w:ascii="Times New Roman" w:eastAsia="Times New Roman" w:hAnsi="Times New Roman" w:cs="Times New Roman"/>
          <w:sz w:val="24"/>
          <w:szCs w:val="24"/>
        </w:rPr>
        <w:t xml:space="preserve"> adds more neutrality, not less.</w:t>
      </w:r>
      <w:r w:rsidR="00F81F35">
        <w:rPr>
          <w:rStyle w:val="FootnoteReference"/>
          <w:rFonts w:ascii="Times New Roman" w:eastAsia="Times New Roman" w:hAnsi="Times New Roman" w:cs="Times New Roman"/>
          <w:sz w:val="24"/>
          <w:szCs w:val="24"/>
        </w:rPr>
        <w:footnoteReference w:id="84"/>
      </w:r>
      <w:r>
        <w:rPr>
          <w:rFonts w:ascii="Times New Roman" w:eastAsia="Times New Roman" w:hAnsi="Times New Roman" w:cs="Times New Roman"/>
          <w:sz w:val="24"/>
          <w:szCs w:val="24"/>
        </w:rPr>
        <w:t xml:space="preserve"> </w:t>
      </w:r>
    </w:p>
    <w:p w:rsidR="003A18FF" w:rsidRDefault="003A18FF" w:rsidP="003A18FF">
      <w:pPr>
        <w:spacing w:after="0" w:line="360" w:lineRule="auto"/>
        <w:ind w:firstLine="720"/>
        <w:jc w:val="both"/>
        <w:rPr>
          <w:rFonts w:ascii="Times New Roman" w:hAnsi="Times New Roman" w:cs="Times New Roman"/>
          <w:color w:val="000000" w:themeColor="text1"/>
          <w:sz w:val="24"/>
          <w:szCs w:val="24"/>
        </w:rPr>
      </w:pPr>
      <w:r w:rsidRPr="00617196">
        <w:rPr>
          <w:rFonts w:ascii="Times New Roman" w:hAnsi="Times New Roman" w:cs="Times New Roman"/>
          <w:sz w:val="24"/>
          <w:szCs w:val="24"/>
        </w:rPr>
        <w:lastRenderedPageBreak/>
        <w:t>Others may point out that child care may reduce cognitive achievement in children.</w:t>
      </w:r>
      <w:r>
        <w:rPr>
          <w:rFonts w:ascii="Times New Roman" w:hAnsi="Times New Roman" w:cs="Times New Roman"/>
          <w:sz w:val="24"/>
          <w:szCs w:val="24"/>
        </w:rPr>
        <w:t xml:space="preserve"> </w:t>
      </w:r>
      <w:r w:rsidRPr="00617196">
        <w:rPr>
          <w:rFonts w:ascii="Times New Roman" w:hAnsi="Times New Roman" w:cs="Times New Roman"/>
          <w:color w:val="000000" w:themeColor="text1"/>
          <w:sz w:val="24"/>
          <w:szCs w:val="24"/>
        </w:rPr>
        <w:t xml:space="preserve">Baker, Gruber, and Milligan </w:t>
      </w:r>
      <w:r>
        <w:rPr>
          <w:rFonts w:ascii="Times New Roman" w:hAnsi="Times New Roman" w:cs="Times New Roman"/>
          <w:color w:val="000000" w:themeColor="text1"/>
          <w:sz w:val="24"/>
          <w:szCs w:val="24"/>
        </w:rPr>
        <w:t>found</w:t>
      </w:r>
      <w:r w:rsidRPr="00617196">
        <w:rPr>
          <w:rFonts w:ascii="Times New Roman" w:hAnsi="Times New Roman" w:cs="Times New Roman"/>
          <w:color w:val="000000" w:themeColor="text1"/>
          <w:sz w:val="24"/>
          <w:szCs w:val="24"/>
        </w:rPr>
        <w:t xml:space="preserve"> that children in Quebec’s universal child care program are worse off in a variety of behavioral and health dimensions, including illness.</w:t>
      </w:r>
      <w:r w:rsidR="00F81F35">
        <w:rPr>
          <w:rStyle w:val="FootnoteReference"/>
          <w:rFonts w:ascii="Times New Roman" w:hAnsi="Times New Roman" w:cs="Times New Roman"/>
          <w:color w:val="000000" w:themeColor="text1"/>
          <w:sz w:val="24"/>
          <w:szCs w:val="24"/>
        </w:rPr>
        <w:footnoteReference w:id="85"/>
      </w:r>
    </w:p>
    <w:p w:rsidR="003A18FF" w:rsidRPr="00617196" w:rsidRDefault="003A18FF" w:rsidP="003A18FF">
      <w:pPr>
        <w:spacing w:after="0" w:line="360" w:lineRule="auto"/>
        <w:ind w:firstLine="720"/>
        <w:jc w:val="both"/>
        <w:rPr>
          <w:rFonts w:ascii="Times New Roman" w:hAnsi="Times New Roman" w:cs="Times New Roman"/>
          <w:color w:val="000000" w:themeColor="text1"/>
          <w:sz w:val="24"/>
          <w:szCs w:val="24"/>
        </w:rPr>
      </w:pPr>
      <w:r w:rsidRPr="00617196">
        <w:rPr>
          <w:rFonts w:ascii="Times New Roman" w:hAnsi="Times New Roman" w:cs="Times New Roman"/>
          <w:color w:val="000000" w:themeColor="text1"/>
          <w:sz w:val="24"/>
          <w:szCs w:val="24"/>
        </w:rPr>
        <w:t>Quality of care may mitigate some of these effects, although more research is needed.</w:t>
      </w:r>
      <w:r w:rsidR="00377946">
        <w:rPr>
          <w:rStyle w:val="FootnoteReference"/>
          <w:rFonts w:ascii="Times New Roman" w:hAnsi="Times New Roman" w:cs="Times New Roman"/>
          <w:color w:val="000000" w:themeColor="text1"/>
          <w:sz w:val="24"/>
          <w:szCs w:val="24"/>
        </w:rPr>
        <w:footnoteReference w:id="86"/>
      </w:r>
      <w:r w:rsidR="00377946" w:rsidRPr="00617196">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 xml:space="preserve">For example, </w:t>
      </w:r>
      <w:r w:rsidR="009A6587">
        <w:rPr>
          <w:rFonts w:ascii="Times New Roman" w:hAnsi="Times New Roman" w:cs="Times New Roman"/>
          <w:color w:val="000000" w:themeColor="text1"/>
          <w:sz w:val="24"/>
          <w:szCs w:val="24"/>
        </w:rPr>
        <w:t>Bernal and Keane (2011)</w:t>
      </w:r>
      <w:r w:rsidRPr="00617196">
        <w:rPr>
          <w:rFonts w:ascii="Times New Roman" w:hAnsi="Times New Roman" w:cs="Times New Roman"/>
          <w:color w:val="000000" w:themeColor="text1"/>
          <w:sz w:val="24"/>
          <w:szCs w:val="24"/>
        </w:rPr>
        <w:t xml:space="preserve"> assess the cognitive outcomes from informal care (provided by family or neighbors) versus formal care (provided by a child care facility). The results are very different.</w:t>
      </w:r>
      <w:r w:rsidR="009A6587">
        <w:rPr>
          <w:rStyle w:val="FootnoteReference"/>
          <w:rFonts w:ascii="Times New Roman" w:hAnsi="Times New Roman" w:cs="Times New Roman"/>
          <w:color w:val="000000" w:themeColor="text1"/>
          <w:sz w:val="24"/>
          <w:szCs w:val="24"/>
        </w:rPr>
        <w:footnoteReference w:id="87"/>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The estimate of formal care on child test scores is positive but statistically insignificant, while an additional year of informal care causes a 2.6 percent reduction in test scores.</w:t>
      </w:r>
      <w:r>
        <w:rPr>
          <w:rFonts w:ascii="Times New Roman" w:hAnsi="Times New Roman" w:cs="Times New Roman"/>
          <w:color w:val="000000" w:themeColor="text1"/>
          <w:sz w:val="24"/>
          <w:szCs w:val="24"/>
        </w:rPr>
        <w:t xml:space="preserve"> </w:t>
      </w:r>
      <w:r w:rsidRPr="00617196">
        <w:rPr>
          <w:rFonts w:ascii="Times New Roman" w:hAnsi="Times New Roman" w:cs="Times New Roman"/>
          <w:color w:val="000000" w:themeColor="text1"/>
          <w:sz w:val="24"/>
          <w:szCs w:val="24"/>
        </w:rPr>
        <w:t>This has implications for children from low</w:t>
      </w:r>
      <w:r>
        <w:rPr>
          <w:rFonts w:ascii="Times New Roman" w:hAnsi="Times New Roman" w:cs="Times New Roman"/>
          <w:color w:val="000000" w:themeColor="text1"/>
          <w:sz w:val="24"/>
          <w:szCs w:val="24"/>
        </w:rPr>
        <w:t>-</w:t>
      </w:r>
      <w:r w:rsidRPr="00617196">
        <w:rPr>
          <w:rFonts w:ascii="Times New Roman" w:hAnsi="Times New Roman" w:cs="Times New Roman"/>
          <w:color w:val="000000" w:themeColor="text1"/>
          <w:sz w:val="24"/>
          <w:szCs w:val="24"/>
        </w:rPr>
        <w:t xml:space="preserve">income families, who are twice </w:t>
      </w:r>
      <w:r w:rsidR="00907F98">
        <w:rPr>
          <w:rFonts w:ascii="Times New Roman" w:hAnsi="Times New Roman" w:cs="Times New Roman"/>
          <w:color w:val="000000" w:themeColor="text1"/>
          <w:sz w:val="24"/>
          <w:szCs w:val="24"/>
        </w:rPr>
        <w:t>as</w:t>
      </w:r>
      <w:r w:rsidR="00907F98" w:rsidRPr="00617196">
        <w:rPr>
          <w:rFonts w:ascii="Times New Roman" w:hAnsi="Times New Roman" w:cs="Times New Roman"/>
          <w:color w:val="000000" w:themeColor="text1"/>
          <w:sz w:val="24"/>
          <w:szCs w:val="24"/>
        </w:rPr>
        <w:t xml:space="preserve"> likely to be in informal</w:t>
      </w:r>
      <w:r w:rsidR="00907F98">
        <w:rPr>
          <w:rFonts w:ascii="Times New Roman" w:hAnsi="Times New Roman" w:cs="Times New Roman"/>
          <w:color w:val="000000" w:themeColor="text1"/>
          <w:sz w:val="24"/>
          <w:szCs w:val="24"/>
        </w:rPr>
        <w:t xml:space="preserve"> </w:t>
      </w:r>
      <w:r w:rsidR="00907F98" w:rsidRPr="00617196">
        <w:rPr>
          <w:rFonts w:ascii="Times New Roman" w:hAnsi="Times New Roman" w:cs="Times New Roman"/>
          <w:color w:val="000000" w:themeColor="text1"/>
          <w:sz w:val="24"/>
          <w:szCs w:val="24"/>
        </w:rPr>
        <w:t>care as</w:t>
      </w:r>
      <w:r w:rsidR="00A27BE3">
        <w:rPr>
          <w:rFonts w:ascii="Times New Roman" w:hAnsi="Times New Roman" w:cs="Times New Roman"/>
          <w:color w:val="000000" w:themeColor="text1"/>
          <w:sz w:val="24"/>
          <w:szCs w:val="24"/>
        </w:rPr>
        <w:t xml:space="preserve"> in</w:t>
      </w:r>
      <w:r w:rsidRPr="00617196">
        <w:rPr>
          <w:rFonts w:ascii="Times New Roman" w:hAnsi="Times New Roman" w:cs="Times New Roman"/>
          <w:color w:val="000000" w:themeColor="text1"/>
          <w:sz w:val="24"/>
          <w:szCs w:val="24"/>
        </w:rPr>
        <w:t xml:space="preserve"> formal care, likely </w:t>
      </w:r>
      <w:r>
        <w:rPr>
          <w:rFonts w:ascii="Times New Roman" w:hAnsi="Times New Roman" w:cs="Times New Roman"/>
          <w:color w:val="000000" w:themeColor="text1"/>
          <w:sz w:val="24"/>
          <w:szCs w:val="24"/>
        </w:rPr>
        <w:t>because of</w:t>
      </w:r>
      <w:r w:rsidRPr="00617196">
        <w:rPr>
          <w:rFonts w:ascii="Times New Roman" w:hAnsi="Times New Roman" w:cs="Times New Roman"/>
          <w:color w:val="000000" w:themeColor="text1"/>
          <w:sz w:val="24"/>
          <w:szCs w:val="24"/>
        </w:rPr>
        <w:t xml:space="preserve"> cost.</w:t>
      </w:r>
      <w:r w:rsidR="00377946">
        <w:rPr>
          <w:rStyle w:val="FootnoteReference"/>
          <w:rFonts w:ascii="Times New Roman" w:hAnsi="Times New Roman" w:cs="Times New Roman"/>
          <w:color w:val="000000" w:themeColor="text1"/>
          <w:sz w:val="24"/>
          <w:szCs w:val="24"/>
        </w:rPr>
        <w:footnoteReference w:id="88"/>
      </w:r>
    </w:p>
    <w:p w:rsidR="003A18FF" w:rsidRDefault="003A18FF" w:rsidP="00A34786">
      <w:pPr>
        <w:spacing w:after="0" w:line="360" w:lineRule="auto"/>
        <w:ind w:firstLine="720"/>
        <w:jc w:val="both"/>
        <w:rPr>
          <w:rFonts w:ascii="Times New Roman" w:hAnsi="Times New Roman" w:cs="Times New Roman"/>
          <w:sz w:val="24"/>
          <w:szCs w:val="24"/>
        </w:rPr>
      </w:pPr>
      <w:r w:rsidRPr="00617196">
        <w:rPr>
          <w:rFonts w:ascii="Times New Roman" w:hAnsi="Times New Roman" w:cs="Times New Roman"/>
          <w:sz w:val="24"/>
          <w:szCs w:val="24"/>
        </w:rPr>
        <w:t xml:space="preserve"> </w:t>
      </w:r>
      <w:r>
        <w:rPr>
          <w:rFonts w:ascii="Times New Roman" w:hAnsi="Times New Roman" w:cs="Times New Roman"/>
          <w:sz w:val="24"/>
          <w:szCs w:val="24"/>
        </w:rPr>
        <w:t>S</w:t>
      </w:r>
      <w:r w:rsidRPr="00617196">
        <w:rPr>
          <w:rFonts w:ascii="Times New Roman" w:hAnsi="Times New Roman" w:cs="Times New Roman"/>
          <w:sz w:val="24"/>
          <w:szCs w:val="24"/>
        </w:rPr>
        <w:t xml:space="preserve">ome have proposed increasing the child tax credit, which provides </w:t>
      </w:r>
      <w:r>
        <w:rPr>
          <w:rFonts w:ascii="Times New Roman" w:hAnsi="Times New Roman" w:cs="Times New Roman"/>
          <w:sz w:val="24"/>
          <w:szCs w:val="24"/>
        </w:rPr>
        <w:t>a tax credit of up to</w:t>
      </w:r>
      <w:r w:rsidRPr="00617196">
        <w:rPr>
          <w:rFonts w:ascii="Times New Roman" w:hAnsi="Times New Roman" w:cs="Times New Roman"/>
          <w:sz w:val="24"/>
          <w:szCs w:val="24"/>
        </w:rPr>
        <w:t xml:space="preserve"> $1,000 per child, instead of providing funding for child care specifically.</w:t>
      </w:r>
      <w:r w:rsidR="00252965">
        <w:rPr>
          <w:rStyle w:val="FootnoteReference"/>
          <w:rFonts w:ascii="Times New Roman" w:hAnsi="Times New Roman" w:cs="Times New Roman"/>
          <w:sz w:val="24"/>
          <w:szCs w:val="24"/>
        </w:rPr>
        <w:footnoteReference w:id="89"/>
      </w:r>
      <w:r w:rsidRPr="00617196">
        <w:rPr>
          <w:rFonts w:ascii="Times New Roman" w:hAnsi="Times New Roman" w:cs="Times New Roman"/>
          <w:sz w:val="24"/>
          <w:szCs w:val="24"/>
        </w:rPr>
        <w:t xml:space="preserve"> </w:t>
      </w:r>
      <w:r>
        <w:rPr>
          <w:rFonts w:ascii="Times New Roman" w:hAnsi="Times New Roman" w:cs="Times New Roman"/>
          <w:sz w:val="24"/>
          <w:szCs w:val="24"/>
        </w:rPr>
        <w:t>There are several benefits to this approach. More income is generally correlated with better outcomes for children, and reducing taxes on income may encourage work. However, the labor supply effects of directly offsetting child care costs appear to be even stronger, especially for low-income women. As such, we believe that directly offsetting the cost of child care is a better option for improving women’s economic outcomes in the long-run.</w:t>
      </w:r>
    </w:p>
    <w:p w:rsidR="003A18FF" w:rsidRDefault="003A18FF" w:rsidP="003A18FF">
      <w:pPr>
        <w:spacing w:after="0" w:line="360" w:lineRule="auto"/>
        <w:ind w:firstLine="720"/>
        <w:rPr>
          <w:rFonts w:ascii="Times New Roman" w:hAnsi="Times New Roman" w:cs="Times New Roman"/>
          <w:sz w:val="24"/>
          <w:szCs w:val="24"/>
        </w:rPr>
      </w:pPr>
    </w:p>
    <w:p w:rsidR="003A18FF" w:rsidRDefault="003A18FF" w:rsidP="003A18FF">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IV. Conclusion</w:t>
      </w:r>
    </w:p>
    <w:p w:rsidR="003A18FF" w:rsidRPr="00617196" w:rsidRDefault="003A18FF" w:rsidP="003A18FF">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1A1A1A"/>
          <w:sz w:val="24"/>
          <w:szCs w:val="24"/>
        </w:rPr>
        <w:t>In this testimony, I have reviewed the evidence on economic mobility, particularly for Afric</w:t>
      </w:r>
      <w:r w:rsidR="00A650BF">
        <w:rPr>
          <w:rFonts w:ascii="Times New Roman" w:eastAsia="Times New Roman" w:hAnsi="Times New Roman" w:cs="Times New Roman"/>
          <w:color w:val="1A1A1A"/>
          <w:sz w:val="24"/>
          <w:szCs w:val="24"/>
        </w:rPr>
        <w:t>an-</w:t>
      </w:r>
      <w:r>
        <w:rPr>
          <w:rFonts w:ascii="Times New Roman" w:eastAsia="Times New Roman" w:hAnsi="Times New Roman" w:cs="Times New Roman"/>
          <w:color w:val="1A1A1A"/>
          <w:sz w:val="24"/>
          <w:szCs w:val="24"/>
        </w:rPr>
        <w:t>Americans. I have highlighted some of the factors that are found to be correlated wi</w:t>
      </w:r>
      <w:r w:rsidR="00B82D66">
        <w:rPr>
          <w:rFonts w:ascii="Times New Roman" w:eastAsia="Times New Roman" w:hAnsi="Times New Roman" w:cs="Times New Roman"/>
          <w:color w:val="1A1A1A"/>
          <w:sz w:val="24"/>
          <w:szCs w:val="24"/>
        </w:rPr>
        <w:t>th economic mobility. Finally, based on two recent studies with Abby McCloskey, I</w:t>
      </w:r>
      <w:r>
        <w:rPr>
          <w:rFonts w:ascii="Times New Roman" w:eastAsia="Times New Roman" w:hAnsi="Times New Roman" w:cs="Times New Roman"/>
          <w:color w:val="1A1A1A"/>
          <w:sz w:val="24"/>
          <w:szCs w:val="24"/>
        </w:rPr>
        <w:t xml:space="preserve"> have summarized a set of policy options that may help individuals move up the ladder of economic opportunity. The most important challenges going forward are the creation of stable family structures that will invest sufficiently in the education and upbringing of their children, as well as providing the right kind of high quality education. In addition, improving labor market outcomes </w:t>
      </w:r>
      <w:r>
        <w:rPr>
          <w:rFonts w:ascii="Times New Roman" w:eastAsia="Times New Roman" w:hAnsi="Times New Roman" w:cs="Times New Roman"/>
          <w:color w:val="1A1A1A"/>
          <w:sz w:val="24"/>
          <w:szCs w:val="24"/>
        </w:rPr>
        <w:lastRenderedPageBreak/>
        <w:t>through the expansion of the EITC, wage-subsidy programs as well as job placement and training programs is important. I have proposed several reforms to existing welfare and workfare programs as well as incentives for teenagers and youth to attain higher education. If we can address some of these challenges, America may remain a land of opportunity for generations to come.</w:t>
      </w:r>
    </w:p>
    <w:p w:rsidR="003A18FF" w:rsidRDefault="003A18FF" w:rsidP="003A18FF">
      <w:pPr>
        <w:pStyle w:val="ListParagraph"/>
        <w:spacing w:after="0"/>
        <w:ind w:left="0" w:firstLine="720"/>
      </w:pPr>
    </w:p>
    <w:p w:rsidR="00C43792" w:rsidRDefault="00C43792"/>
    <w:sectPr w:rsidR="00C43792" w:rsidSect="008812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D7" w:rsidRDefault="001A15D7" w:rsidP="003A18FF">
      <w:pPr>
        <w:spacing w:after="0" w:line="240" w:lineRule="auto"/>
      </w:pPr>
      <w:r>
        <w:separator/>
      </w:r>
    </w:p>
  </w:endnote>
  <w:endnote w:type="continuationSeparator" w:id="0">
    <w:p w:rsidR="001A15D7" w:rsidRDefault="001A15D7" w:rsidP="003A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hitney Book">
    <w:altName w:val="Whitney Book"/>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MR10">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D7" w:rsidRDefault="001A15D7" w:rsidP="003A18FF">
      <w:pPr>
        <w:spacing w:after="0" w:line="240" w:lineRule="auto"/>
      </w:pPr>
      <w:r>
        <w:separator/>
      </w:r>
    </w:p>
  </w:footnote>
  <w:footnote w:type="continuationSeparator" w:id="0">
    <w:p w:rsidR="001A15D7" w:rsidRDefault="001A15D7" w:rsidP="003A18FF">
      <w:pPr>
        <w:spacing w:after="0" w:line="240" w:lineRule="auto"/>
      </w:pPr>
      <w:r>
        <w:continuationSeparator/>
      </w:r>
    </w:p>
  </w:footnote>
  <w:footnote w:id="1">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proofErr w:type="spellStart"/>
      <w:r w:rsidRPr="005E14C3">
        <w:rPr>
          <w:rFonts w:ascii="Times New Roman" w:hAnsi="Times New Roman" w:cs="Times New Roman"/>
        </w:rPr>
        <w:t>Bhashkar</w:t>
      </w:r>
      <w:proofErr w:type="spellEnd"/>
      <w:r w:rsidRPr="005E14C3">
        <w:rPr>
          <w:rFonts w:ascii="Times New Roman" w:hAnsi="Times New Roman" w:cs="Times New Roman"/>
        </w:rPr>
        <w:t xml:space="preserve"> </w:t>
      </w:r>
      <w:proofErr w:type="spellStart"/>
      <w:r w:rsidRPr="005E14C3">
        <w:rPr>
          <w:rFonts w:ascii="Times New Roman" w:hAnsi="Times New Roman" w:cs="Times New Roman"/>
        </w:rPr>
        <w:t>Mazumder</w:t>
      </w:r>
      <w:proofErr w:type="spellEnd"/>
      <w:r w:rsidRPr="005E14C3">
        <w:rPr>
          <w:rFonts w:ascii="Times New Roman" w:hAnsi="Times New Roman" w:cs="Times New Roman"/>
        </w:rPr>
        <w:t xml:space="preserve">, “Upward Intergenerational Economic Mobility in the United States” (The Pew Charitable Trusts, Economic Mobility Project, </w:t>
      </w:r>
      <w:hyperlink r:id="rId1" w:history="1">
        <w:r w:rsidRPr="005E14C3">
          <w:rPr>
            <w:rStyle w:val="Hyperlink"/>
            <w:rFonts w:ascii="Times New Roman" w:hAnsi="Times New Roman" w:cs="Times New Roman"/>
          </w:rPr>
          <w:t>2012</w:t>
        </w:r>
      </w:hyperlink>
      <w:r w:rsidRPr="005E14C3">
        <w:rPr>
          <w:rFonts w:ascii="Times New Roman" w:hAnsi="Times New Roman" w:cs="Times New Roman"/>
        </w:rPr>
        <w:t>)</w:t>
      </w:r>
    </w:p>
  </w:footnote>
  <w:footnote w:id="2">
    <w:p w:rsidR="00A06EC9" w:rsidRPr="005E14C3" w:rsidRDefault="00A06EC9" w:rsidP="00A06EC9">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F335EF" w:rsidRPr="005E14C3">
        <w:rPr>
          <w:rFonts w:ascii="Times New Roman" w:hAnsi="Times New Roman" w:cs="Times New Roman"/>
        </w:rPr>
        <w:t>Tom Hertz,</w:t>
      </w:r>
      <w:r w:rsidRPr="005E14C3">
        <w:rPr>
          <w:rFonts w:ascii="Times New Roman" w:hAnsi="Times New Roman" w:cs="Times New Roman"/>
        </w:rPr>
        <w:t xml:space="preserve"> “Rags, Riches, and Race: The Intergenerational Economic Mobility of Black and White Families in the United States” </w:t>
      </w:r>
      <w:r w:rsidR="00E75500" w:rsidRPr="005E14C3">
        <w:rPr>
          <w:rFonts w:ascii="Times New Roman" w:hAnsi="Times New Roman" w:cs="Times New Roman"/>
        </w:rPr>
        <w:t>i</w:t>
      </w:r>
      <w:r w:rsidRPr="005E14C3">
        <w:rPr>
          <w:rFonts w:ascii="Times New Roman" w:hAnsi="Times New Roman" w:cs="Times New Roman"/>
        </w:rPr>
        <w:t xml:space="preserve">n Samuel Bowles, Herbert </w:t>
      </w:r>
      <w:proofErr w:type="spellStart"/>
      <w:r w:rsidRPr="005E14C3">
        <w:rPr>
          <w:rFonts w:ascii="Times New Roman" w:hAnsi="Times New Roman" w:cs="Times New Roman"/>
        </w:rPr>
        <w:t>Gintis</w:t>
      </w:r>
      <w:proofErr w:type="spellEnd"/>
      <w:r w:rsidRPr="005E14C3">
        <w:rPr>
          <w:rFonts w:ascii="Times New Roman" w:hAnsi="Times New Roman" w:cs="Times New Roman"/>
        </w:rPr>
        <w:t xml:space="preserve">, and Melissa Osborne Groves, eds. </w:t>
      </w:r>
      <w:r w:rsidRPr="005E14C3">
        <w:rPr>
          <w:rFonts w:ascii="Times New Roman" w:hAnsi="Times New Roman" w:cs="Times New Roman"/>
          <w:i/>
        </w:rPr>
        <w:t>Unequal Chances: Family Background and Economic Success</w:t>
      </w:r>
      <w:r w:rsidRPr="005E14C3">
        <w:rPr>
          <w:rFonts w:ascii="Times New Roman" w:hAnsi="Times New Roman" w:cs="Times New Roman"/>
        </w:rPr>
        <w:t xml:space="preserve"> </w:t>
      </w:r>
      <w:r w:rsidR="00E75500" w:rsidRPr="005E14C3">
        <w:rPr>
          <w:rFonts w:ascii="Times New Roman" w:hAnsi="Times New Roman" w:cs="Times New Roman"/>
        </w:rPr>
        <w:t>(</w:t>
      </w:r>
      <w:hyperlink r:id="rId2" w:history="1">
        <w:r w:rsidR="00E75500" w:rsidRPr="005E14C3">
          <w:rPr>
            <w:rStyle w:val="Hyperlink"/>
            <w:rFonts w:ascii="Times New Roman" w:hAnsi="Times New Roman" w:cs="Times New Roman"/>
          </w:rPr>
          <w:t>2005</w:t>
        </w:r>
      </w:hyperlink>
      <w:r w:rsidR="00E75500" w:rsidRPr="005E14C3">
        <w:rPr>
          <w:rFonts w:ascii="Times New Roman" w:hAnsi="Times New Roman" w:cs="Times New Roman"/>
        </w:rPr>
        <w:t>)</w:t>
      </w:r>
    </w:p>
  </w:footnote>
  <w:footnote w:id="3">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Julia B. Isaacs, “Economic Mobility of Black and White Families” (The Brookings Institution, Economic Mobility Project, </w:t>
      </w:r>
      <w:hyperlink r:id="rId3" w:history="1">
        <w:r w:rsidRPr="005E14C3">
          <w:rPr>
            <w:rStyle w:val="Hyperlink"/>
            <w:rFonts w:ascii="Times New Roman" w:hAnsi="Times New Roman" w:cs="Times New Roman"/>
          </w:rPr>
          <w:t>2007</w:t>
        </w:r>
      </w:hyperlink>
      <w:r w:rsidRPr="005E14C3">
        <w:rPr>
          <w:rFonts w:ascii="Times New Roman" w:hAnsi="Times New Roman" w:cs="Times New Roman"/>
        </w:rPr>
        <w:t>)</w:t>
      </w:r>
    </w:p>
  </w:footnote>
  <w:footnote w:id="4">
    <w:p w:rsidR="00D6694D" w:rsidRPr="005E14C3" w:rsidRDefault="00D6694D">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CB3F33" w:rsidRPr="005E14C3">
        <w:rPr>
          <w:rFonts w:ascii="Times New Roman" w:hAnsi="Times New Roman" w:cs="Times New Roman"/>
          <w:shd w:val="clear" w:color="auto" w:fill="FFFFFF"/>
        </w:rPr>
        <w:t xml:space="preserve">Raj </w:t>
      </w:r>
      <w:proofErr w:type="spellStart"/>
      <w:r w:rsidR="00CB3F33" w:rsidRPr="005E14C3">
        <w:rPr>
          <w:rFonts w:ascii="Times New Roman" w:hAnsi="Times New Roman" w:cs="Times New Roman"/>
          <w:shd w:val="clear" w:color="auto" w:fill="FFFFFF"/>
        </w:rPr>
        <w:t>Chetty</w:t>
      </w:r>
      <w:proofErr w:type="spellEnd"/>
      <w:r w:rsidR="00CB3F33" w:rsidRPr="005E14C3">
        <w:rPr>
          <w:rFonts w:ascii="Times New Roman" w:hAnsi="Times New Roman" w:cs="Times New Roman"/>
          <w:shd w:val="clear" w:color="auto" w:fill="FFFFFF"/>
        </w:rPr>
        <w:t xml:space="preserve">, Nathaniel </w:t>
      </w:r>
      <w:proofErr w:type="spellStart"/>
      <w:r w:rsidR="00CB3F33" w:rsidRPr="005E14C3">
        <w:rPr>
          <w:rFonts w:ascii="Times New Roman" w:hAnsi="Times New Roman" w:cs="Times New Roman"/>
          <w:shd w:val="clear" w:color="auto" w:fill="FFFFFF"/>
        </w:rPr>
        <w:t>Hendren</w:t>
      </w:r>
      <w:proofErr w:type="spellEnd"/>
      <w:r w:rsidR="00CB3F33" w:rsidRPr="005E14C3">
        <w:rPr>
          <w:rFonts w:ascii="Times New Roman" w:hAnsi="Times New Roman" w:cs="Times New Roman"/>
          <w:shd w:val="clear" w:color="auto" w:fill="FFFFFF"/>
        </w:rPr>
        <w:t xml:space="preserve">, Patrick Kline, and Emmanuel </w:t>
      </w:r>
      <w:proofErr w:type="spellStart"/>
      <w:r w:rsidR="00CB3F33" w:rsidRPr="005E14C3">
        <w:rPr>
          <w:rFonts w:ascii="Times New Roman" w:hAnsi="Times New Roman" w:cs="Times New Roman"/>
          <w:shd w:val="clear" w:color="auto" w:fill="FFFFFF"/>
        </w:rPr>
        <w:t>Saez</w:t>
      </w:r>
      <w:proofErr w:type="spellEnd"/>
      <w:r w:rsidR="00CB3F33" w:rsidRPr="005E14C3">
        <w:rPr>
          <w:rFonts w:ascii="Times New Roman" w:hAnsi="Times New Roman" w:cs="Times New Roman"/>
          <w:shd w:val="clear" w:color="auto" w:fill="FFFFFF"/>
        </w:rPr>
        <w:t xml:space="preserve">, “Where Is the Land of Opportunity?: The Geography of Intergenerational Mobility in the United States” (NBER working paper, </w:t>
      </w:r>
      <w:hyperlink r:id="rId4" w:history="1">
        <w:r w:rsidR="00CB3F33" w:rsidRPr="005E14C3">
          <w:rPr>
            <w:rStyle w:val="Hyperlink"/>
            <w:rFonts w:ascii="Times New Roman" w:hAnsi="Times New Roman" w:cs="Times New Roman"/>
            <w:shd w:val="clear" w:color="auto" w:fill="FFFFFF"/>
          </w:rPr>
          <w:t>2014</w:t>
        </w:r>
      </w:hyperlink>
      <w:r w:rsidR="00CB3F33" w:rsidRPr="005E14C3">
        <w:rPr>
          <w:rFonts w:ascii="Times New Roman" w:hAnsi="Times New Roman" w:cs="Times New Roman"/>
          <w:shd w:val="clear" w:color="auto" w:fill="FFFFFF"/>
        </w:rPr>
        <w:t>)</w:t>
      </w:r>
    </w:p>
  </w:footnote>
  <w:footnote w:id="5">
    <w:p w:rsidR="00881227" w:rsidRPr="005E14C3" w:rsidRDefault="00881227" w:rsidP="003A18FF">
      <w:pPr>
        <w:pStyle w:val="ListParagraph"/>
        <w:spacing w:after="0" w:line="240" w:lineRule="auto"/>
        <w:ind w:left="0"/>
        <w:jc w:val="both"/>
        <w:rPr>
          <w:rFonts w:ascii="Times New Roman" w:hAnsi="Times New Roman" w:cs="Times New Roman"/>
          <w:sz w:val="20"/>
          <w:szCs w:val="20"/>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5E14C3">
        <w:rPr>
          <w:rFonts w:ascii="Times New Roman" w:hAnsi="Times New Roman" w:cs="Times New Roman"/>
          <w:sz w:val="20"/>
          <w:szCs w:val="20"/>
        </w:rPr>
        <w:t>Lee and Solon (2006) use a longer panel from the PSID and show that for cohorts born between 1952 and 1975, intergenerational mobility has not changed dramatically over the last two decades.</w:t>
      </w:r>
    </w:p>
  </w:footnote>
  <w:footnote w:id="6">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Black and </w:t>
      </w:r>
      <w:proofErr w:type="spellStart"/>
      <w:r w:rsidRPr="005E14C3">
        <w:rPr>
          <w:rFonts w:ascii="Times New Roman" w:hAnsi="Times New Roman" w:cs="Times New Roman"/>
        </w:rPr>
        <w:t>Deveruex</w:t>
      </w:r>
      <w:proofErr w:type="spellEnd"/>
      <w:r w:rsidRPr="005E14C3">
        <w:rPr>
          <w:rFonts w:ascii="Times New Roman" w:hAnsi="Times New Roman" w:cs="Times New Roman"/>
        </w:rPr>
        <w:t xml:space="preserve"> (2011) review recent papers on the topic as well as cross-country analyses. For example, the paper by </w:t>
      </w:r>
      <w:proofErr w:type="spellStart"/>
      <w:r w:rsidRPr="005E14C3">
        <w:rPr>
          <w:rFonts w:ascii="Times New Roman" w:hAnsi="Times New Roman" w:cs="Times New Roman"/>
        </w:rPr>
        <w:t>Jantti</w:t>
      </w:r>
      <w:proofErr w:type="spellEnd"/>
      <w:r w:rsidRPr="005E14C3">
        <w:rPr>
          <w:rFonts w:ascii="Times New Roman" w:hAnsi="Times New Roman" w:cs="Times New Roman"/>
        </w:rPr>
        <w:t xml:space="preserve"> et al. (2006) suggests that persistence is higher in the U.S. than in U.K. or Nordic countries.</w:t>
      </w:r>
    </w:p>
  </w:footnote>
  <w:footnote w:id="7">
    <w:p w:rsidR="00881227" w:rsidRPr="005E14C3" w:rsidRDefault="00881227" w:rsidP="00847CFD">
      <w:pPr>
        <w:pStyle w:val="ListParagraph"/>
        <w:spacing w:after="0" w:line="240" w:lineRule="auto"/>
        <w:ind w:left="0"/>
        <w:jc w:val="both"/>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5E14C3">
        <w:rPr>
          <w:rFonts w:ascii="Times New Roman" w:hAnsi="Times New Roman" w:cs="Times New Roman"/>
          <w:sz w:val="20"/>
          <w:szCs w:val="20"/>
        </w:rPr>
        <w:t xml:space="preserve">Bowles and </w:t>
      </w:r>
      <w:proofErr w:type="spellStart"/>
      <w:r w:rsidRPr="005E14C3">
        <w:rPr>
          <w:rFonts w:ascii="Times New Roman" w:hAnsi="Times New Roman" w:cs="Times New Roman"/>
          <w:sz w:val="20"/>
          <w:szCs w:val="20"/>
        </w:rPr>
        <w:t>Gintis</w:t>
      </w:r>
      <w:proofErr w:type="spellEnd"/>
      <w:r w:rsidRPr="005E14C3">
        <w:rPr>
          <w:rFonts w:ascii="Times New Roman" w:hAnsi="Times New Roman" w:cs="Times New Roman"/>
          <w:sz w:val="20"/>
          <w:szCs w:val="20"/>
        </w:rPr>
        <w:t xml:space="preserve"> (2002) conclude that IQ and educational attainment can explain at most three-fifths of the intergenerational transmission of earnings.</w:t>
      </w:r>
    </w:p>
  </w:footnote>
  <w:footnote w:id="8">
    <w:p w:rsidR="00847CFD" w:rsidRPr="005E14C3" w:rsidRDefault="00847CFD" w:rsidP="00847CFD">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00CB3F33" w:rsidRPr="005E14C3">
        <w:rPr>
          <w:rFonts w:ascii="Times New Roman" w:hAnsi="Times New Roman" w:cs="Times New Roman"/>
          <w:shd w:val="clear" w:color="auto" w:fill="FFFFFF"/>
        </w:rPr>
        <w:t>Chetty</w:t>
      </w:r>
      <w:proofErr w:type="spellEnd"/>
      <w:r w:rsidR="00CB3F33" w:rsidRPr="005E14C3">
        <w:rPr>
          <w:rFonts w:ascii="Times New Roman" w:hAnsi="Times New Roman" w:cs="Times New Roman"/>
          <w:shd w:val="clear" w:color="auto" w:fill="FFFFFF"/>
        </w:rPr>
        <w:t xml:space="preserve"> et al. (2014)</w:t>
      </w:r>
      <w:r w:rsidR="00CA405A" w:rsidRPr="005E14C3">
        <w:rPr>
          <w:rFonts w:ascii="Times New Roman" w:hAnsi="Times New Roman" w:cs="Times New Roman"/>
        </w:rPr>
        <w:t xml:space="preserve"> </w:t>
      </w:r>
    </w:p>
  </w:footnote>
  <w:footnote w:id="9">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Pr="005E14C3">
        <w:rPr>
          <w:rFonts w:ascii="Times New Roman" w:hAnsi="Times New Roman" w:cs="Times New Roman"/>
        </w:rPr>
        <w:t>Alemayehu</w:t>
      </w:r>
      <w:proofErr w:type="spellEnd"/>
      <w:r w:rsidRPr="005E14C3">
        <w:rPr>
          <w:rFonts w:ascii="Times New Roman" w:hAnsi="Times New Roman" w:cs="Times New Roman"/>
        </w:rPr>
        <w:t xml:space="preserve"> </w:t>
      </w:r>
      <w:proofErr w:type="spellStart"/>
      <w:r w:rsidRPr="005E14C3">
        <w:rPr>
          <w:rFonts w:ascii="Times New Roman" w:hAnsi="Times New Roman" w:cs="Times New Roman"/>
        </w:rPr>
        <w:t>Bishaw</w:t>
      </w:r>
      <w:proofErr w:type="spellEnd"/>
      <w:r w:rsidRPr="005E14C3">
        <w:rPr>
          <w:rFonts w:ascii="Times New Roman" w:hAnsi="Times New Roman" w:cs="Times New Roman"/>
        </w:rPr>
        <w:t xml:space="preserve">, “Areas With Concentrated Poverty: 2006-2010” (United States Census Bureau, American Community Survey Briefs, </w:t>
      </w:r>
      <w:hyperlink r:id="rId5" w:history="1">
        <w:r w:rsidRPr="005E14C3">
          <w:rPr>
            <w:rStyle w:val="Hyperlink"/>
            <w:rFonts w:ascii="Times New Roman" w:hAnsi="Times New Roman" w:cs="Times New Roman"/>
          </w:rPr>
          <w:t>2011</w:t>
        </w:r>
      </w:hyperlink>
      <w:r w:rsidRPr="005E14C3">
        <w:rPr>
          <w:rFonts w:ascii="Times New Roman" w:hAnsi="Times New Roman" w:cs="Times New Roman"/>
        </w:rPr>
        <w:t>)</w:t>
      </w:r>
    </w:p>
  </w:footnote>
  <w:footnote w:id="10">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Leah </w:t>
      </w:r>
      <w:proofErr w:type="spellStart"/>
      <w:r w:rsidRPr="005E14C3">
        <w:rPr>
          <w:rFonts w:ascii="Times New Roman" w:hAnsi="Times New Roman" w:cs="Times New Roman"/>
        </w:rPr>
        <w:t>Boustan</w:t>
      </w:r>
      <w:proofErr w:type="spellEnd"/>
      <w:r w:rsidRPr="005E14C3">
        <w:rPr>
          <w:rFonts w:ascii="Times New Roman" w:hAnsi="Times New Roman" w:cs="Times New Roman"/>
        </w:rPr>
        <w:t xml:space="preserve">, “Racial Residential Segregation in American Cities” (NBER working paper, </w:t>
      </w:r>
      <w:hyperlink r:id="rId6" w:history="1">
        <w:r w:rsidRPr="005E14C3">
          <w:rPr>
            <w:rStyle w:val="Hyperlink"/>
            <w:rFonts w:ascii="Times New Roman" w:hAnsi="Times New Roman" w:cs="Times New Roman"/>
          </w:rPr>
          <w:t>2013</w:t>
        </w:r>
      </w:hyperlink>
      <w:r w:rsidRPr="005E14C3">
        <w:rPr>
          <w:rFonts w:ascii="Times New Roman" w:hAnsi="Times New Roman" w:cs="Times New Roman"/>
        </w:rPr>
        <w:t>)</w:t>
      </w:r>
    </w:p>
  </w:footnote>
  <w:footnote w:id="11">
    <w:p w:rsidR="00952C59" w:rsidRPr="005E14C3" w:rsidRDefault="006210AC">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952C59" w:rsidRPr="005E14C3">
        <w:rPr>
          <w:rFonts w:ascii="Times New Roman" w:hAnsi="Times New Roman" w:cs="Times New Roman"/>
        </w:rPr>
        <w:t xml:space="preserve">Ingrid G. Ellen, </w:t>
      </w:r>
      <w:r w:rsidR="00952C59" w:rsidRPr="005E14C3">
        <w:rPr>
          <w:rFonts w:ascii="Times New Roman" w:hAnsi="Times New Roman" w:cs="Times New Roman"/>
          <w:i/>
        </w:rPr>
        <w:t>Sharing America's Neighborhoods: The Prospects for Stable Racial Integration</w:t>
      </w:r>
      <w:r w:rsidR="00952C59" w:rsidRPr="005E14C3">
        <w:rPr>
          <w:rFonts w:ascii="Times New Roman" w:hAnsi="Times New Roman" w:cs="Times New Roman"/>
        </w:rPr>
        <w:t xml:space="preserve"> (Harvard University Press, </w:t>
      </w:r>
      <w:hyperlink r:id="rId7" w:history="1">
        <w:r w:rsidR="00952C59" w:rsidRPr="005E14C3">
          <w:rPr>
            <w:rStyle w:val="Hyperlink"/>
            <w:rFonts w:ascii="Times New Roman" w:hAnsi="Times New Roman" w:cs="Times New Roman"/>
          </w:rPr>
          <w:t>1999</w:t>
        </w:r>
      </w:hyperlink>
      <w:r w:rsidR="00952C59" w:rsidRPr="005E14C3">
        <w:rPr>
          <w:rFonts w:ascii="Times New Roman" w:hAnsi="Times New Roman" w:cs="Times New Roman"/>
        </w:rPr>
        <w:t>)</w:t>
      </w:r>
      <w:r w:rsidR="00D531F8" w:rsidRPr="005E14C3">
        <w:rPr>
          <w:rFonts w:ascii="Times New Roman" w:hAnsi="Times New Roman" w:cs="Times New Roman"/>
        </w:rPr>
        <w:t xml:space="preserve"> noted in </w:t>
      </w:r>
      <w:proofErr w:type="spellStart"/>
      <w:r w:rsidR="00D531F8" w:rsidRPr="005E14C3">
        <w:rPr>
          <w:rFonts w:ascii="Times New Roman" w:hAnsi="Times New Roman" w:cs="Times New Roman"/>
        </w:rPr>
        <w:t>Boustan</w:t>
      </w:r>
      <w:proofErr w:type="spellEnd"/>
      <w:r w:rsidR="00D531F8" w:rsidRPr="005E14C3">
        <w:rPr>
          <w:rFonts w:ascii="Times New Roman" w:hAnsi="Times New Roman" w:cs="Times New Roman"/>
        </w:rPr>
        <w:t xml:space="preserve"> (2013)</w:t>
      </w:r>
    </w:p>
  </w:footnote>
  <w:footnote w:id="12">
    <w:p w:rsidR="00A96E33" w:rsidRPr="005E14C3" w:rsidRDefault="00A96E33">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Samantha Friedman and Gregory D. Squires, “Does the Community Reinvestment Act Help Minorities Access Traditionally Inaccessible Neighborhoods?” (University of California Press, </w:t>
      </w:r>
      <w:hyperlink r:id="rId8" w:history="1">
        <w:r w:rsidRPr="005E14C3">
          <w:rPr>
            <w:rStyle w:val="Hyperlink"/>
            <w:rFonts w:ascii="Times New Roman" w:hAnsi="Times New Roman" w:cs="Times New Roman"/>
          </w:rPr>
          <w:t>2005</w:t>
        </w:r>
      </w:hyperlink>
      <w:r w:rsidRPr="005E14C3">
        <w:rPr>
          <w:rFonts w:ascii="Times New Roman" w:hAnsi="Times New Roman" w:cs="Times New Roman"/>
        </w:rPr>
        <w:t>)</w:t>
      </w:r>
    </w:p>
  </w:footnote>
  <w:footnote w:id="13">
    <w:p w:rsidR="00881227" w:rsidRPr="005E14C3" w:rsidRDefault="00881227" w:rsidP="00AC005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Julia Burdick-Will and Jens </w:t>
      </w:r>
      <w:proofErr w:type="spellStart"/>
      <w:r w:rsidRPr="005E14C3">
        <w:rPr>
          <w:rFonts w:ascii="Times New Roman" w:hAnsi="Times New Roman" w:cs="Times New Roman"/>
        </w:rPr>
        <w:t>Ludwick</w:t>
      </w:r>
      <w:proofErr w:type="spellEnd"/>
      <w:r w:rsidRPr="005E14C3">
        <w:rPr>
          <w:rFonts w:ascii="Times New Roman" w:hAnsi="Times New Roman" w:cs="Times New Roman"/>
        </w:rPr>
        <w:t xml:space="preserve">, “Neighborhood and Community Initiatives” (NBER volume titled “Targeting Investments in Children: Fighting Poverty When Resources are Limited”, </w:t>
      </w:r>
      <w:hyperlink r:id="rId9" w:history="1">
        <w:r w:rsidRPr="005E14C3">
          <w:rPr>
            <w:rStyle w:val="Hyperlink"/>
            <w:rFonts w:ascii="Times New Roman" w:hAnsi="Times New Roman" w:cs="Times New Roman"/>
          </w:rPr>
          <w:t>2010</w:t>
        </w:r>
      </w:hyperlink>
      <w:r w:rsidRPr="005E14C3">
        <w:rPr>
          <w:rFonts w:ascii="Times New Roman" w:hAnsi="Times New Roman" w:cs="Times New Roman"/>
        </w:rPr>
        <w:t>)</w:t>
      </w:r>
    </w:p>
  </w:footnote>
  <w:footnote w:id="14">
    <w:p w:rsidR="009D5B6C" w:rsidRPr="005E14C3" w:rsidRDefault="009D5B6C">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1B4AB7" w:rsidRPr="005E14C3">
        <w:rPr>
          <w:rFonts w:ascii="Times New Roman" w:hAnsi="Times New Roman" w:cs="Times New Roman"/>
        </w:rPr>
        <w:t xml:space="preserve">Harry J. </w:t>
      </w:r>
      <w:proofErr w:type="spellStart"/>
      <w:r w:rsidR="001B4AB7" w:rsidRPr="005E14C3">
        <w:rPr>
          <w:rFonts w:ascii="Times New Roman" w:hAnsi="Times New Roman" w:cs="Times New Roman"/>
        </w:rPr>
        <w:t>Holzer</w:t>
      </w:r>
      <w:proofErr w:type="spellEnd"/>
      <w:r w:rsidR="001B4AB7" w:rsidRPr="005E14C3">
        <w:rPr>
          <w:rFonts w:ascii="Times New Roman" w:hAnsi="Times New Roman" w:cs="Times New Roman"/>
        </w:rPr>
        <w:t xml:space="preserve">, John M. Quigley, and Steven Raphael, “Public transit and the spatial distribution of minority employment: Evidence from a natural experiment” </w:t>
      </w:r>
      <w:r w:rsidR="001B4AB7" w:rsidRPr="005E14C3">
        <w:rPr>
          <w:rFonts w:ascii="Times New Roman" w:hAnsi="Times New Roman" w:cs="Times New Roman"/>
          <w:i/>
        </w:rPr>
        <w:t>Journey of Policy Analysis and Management</w:t>
      </w:r>
      <w:r w:rsidR="001B4AB7" w:rsidRPr="005E14C3">
        <w:rPr>
          <w:rFonts w:ascii="Times New Roman" w:hAnsi="Times New Roman" w:cs="Times New Roman"/>
        </w:rPr>
        <w:t xml:space="preserve"> (</w:t>
      </w:r>
      <w:hyperlink r:id="rId10" w:history="1">
        <w:r w:rsidR="001B4AB7" w:rsidRPr="005E14C3">
          <w:rPr>
            <w:rStyle w:val="Hyperlink"/>
            <w:rFonts w:ascii="Times New Roman" w:hAnsi="Times New Roman" w:cs="Times New Roman"/>
          </w:rPr>
          <w:t>2003</w:t>
        </w:r>
      </w:hyperlink>
      <w:r w:rsidR="001B4AB7" w:rsidRPr="005E14C3">
        <w:rPr>
          <w:rFonts w:ascii="Times New Roman" w:hAnsi="Times New Roman" w:cs="Times New Roman"/>
        </w:rPr>
        <w:t>)</w:t>
      </w:r>
    </w:p>
  </w:footnote>
  <w:footnote w:id="15">
    <w:p w:rsidR="001B4AB7" w:rsidRPr="005E14C3" w:rsidRDefault="001B4AB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Steven Raphael and Michael A. Stoll, “Can Boosting Minority Car-Ownership Rates Narrow Inter-Racial Employment Gaps?” (Brooking</w:t>
      </w:r>
      <w:r w:rsidR="003A3F05" w:rsidRPr="005E14C3">
        <w:rPr>
          <w:rFonts w:ascii="Times New Roman" w:hAnsi="Times New Roman" w:cs="Times New Roman"/>
        </w:rPr>
        <w:t>s</w:t>
      </w:r>
      <w:r w:rsidR="00856F67" w:rsidRPr="005E14C3">
        <w:rPr>
          <w:rFonts w:ascii="Times New Roman" w:hAnsi="Times New Roman" w:cs="Times New Roman"/>
        </w:rPr>
        <w:t>-Wharton P</w:t>
      </w:r>
      <w:r w:rsidRPr="005E14C3">
        <w:rPr>
          <w:rFonts w:ascii="Times New Roman" w:hAnsi="Times New Roman" w:cs="Times New Roman"/>
        </w:rPr>
        <w:t xml:space="preserve">apers on Urban Affairs, </w:t>
      </w:r>
      <w:hyperlink r:id="rId11" w:history="1">
        <w:r w:rsidRPr="005E14C3">
          <w:rPr>
            <w:rStyle w:val="Hyperlink"/>
            <w:rFonts w:ascii="Times New Roman" w:hAnsi="Times New Roman" w:cs="Times New Roman"/>
          </w:rPr>
          <w:t>2001</w:t>
        </w:r>
      </w:hyperlink>
      <w:r w:rsidRPr="005E14C3">
        <w:rPr>
          <w:rFonts w:ascii="Times New Roman" w:hAnsi="Times New Roman" w:cs="Times New Roman"/>
        </w:rPr>
        <w:t>)</w:t>
      </w:r>
    </w:p>
  </w:footnote>
  <w:footnote w:id="16">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Albert </w:t>
      </w:r>
      <w:proofErr w:type="spellStart"/>
      <w:r w:rsidRPr="005E14C3">
        <w:rPr>
          <w:rFonts w:ascii="Times New Roman" w:hAnsi="Times New Roman" w:cs="Times New Roman"/>
        </w:rPr>
        <w:t>Wat</w:t>
      </w:r>
      <w:proofErr w:type="spellEnd"/>
      <w:r w:rsidRPr="005E14C3">
        <w:rPr>
          <w:rFonts w:ascii="Times New Roman" w:hAnsi="Times New Roman" w:cs="Times New Roman"/>
        </w:rPr>
        <w:t xml:space="preserve">, “Dollars and Sense: A Review of Economic Analyses of Pre-K,” (The Pew Charitable Trusts, Pre-K Now Research Series, </w:t>
      </w:r>
      <w:hyperlink r:id="rId12" w:history="1">
        <w:r w:rsidRPr="005E14C3">
          <w:rPr>
            <w:rStyle w:val="Hyperlink"/>
            <w:rFonts w:ascii="Times New Roman" w:hAnsi="Times New Roman" w:cs="Times New Roman"/>
          </w:rPr>
          <w:t>2007</w:t>
        </w:r>
      </w:hyperlink>
      <w:r w:rsidRPr="005E14C3">
        <w:rPr>
          <w:rFonts w:ascii="Times New Roman" w:hAnsi="Times New Roman" w:cs="Times New Roman"/>
        </w:rPr>
        <w:t>)</w:t>
      </w:r>
    </w:p>
  </w:footnote>
  <w:footnote w:id="17">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gramStart"/>
      <w:r w:rsidRPr="005E14C3">
        <w:rPr>
          <w:rFonts w:ascii="Times New Roman" w:hAnsi="Times New Roman" w:cs="Times New Roman"/>
        </w:rPr>
        <w:t xml:space="preserve">Katherine A. Magnuson, Christopher J. </w:t>
      </w:r>
      <w:proofErr w:type="spellStart"/>
      <w:r w:rsidRPr="005E14C3">
        <w:rPr>
          <w:rFonts w:ascii="Times New Roman" w:hAnsi="Times New Roman" w:cs="Times New Roman"/>
        </w:rPr>
        <w:t>Ruhm</w:t>
      </w:r>
      <w:proofErr w:type="spellEnd"/>
      <w:r w:rsidRPr="005E14C3">
        <w:rPr>
          <w:rFonts w:ascii="Times New Roman" w:hAnsi="Times New Roman" w:cs="Times New Roman"/>
        </w:rPr>
        <w:t xml:space="preserve">, and Jane </w:t>
      </w:r>
      <w:proofErr w:type="spellStart"/>
      <w:r w:rsidRPr="005E14C3">
        <w:rPr>
          <w:rFonts w:ascii="Times New Roman" w:hAnsi="Times New Roman" w:cs="Times New Roman"/>
        </w:rPr>
        <w:t>Waldfogel</w:t>
      </w:r>
      <w:proofErr w:type="spellEnd"/>
      <w:r w:rsidRPr="005E14C3">
        <w:rPr>
          <w:rFonts w:ascii="Times New Roman" w:hAnsi="Times New Roman" w:cs="Times New Roman"/>
        </w:rPr>
        <w:t>, “Does Prekindergarten Improve School Preparation and Performance?”</w:t>
      </w:r>
      <w:proofErr w:type="gramEnd"/>
      <w:r w:rsidRPr="005E14C3">
        <w:rPr>
          <w:rFonts w:ascii="Times New Roman" w:hAnsi="Times New Roman" w:cs="Times New Roman"/>
        </w:rPr>
        <w:t xml:space="preserve"> (NBER working paper, </w:t>
      </w:r>
      <w:hyperlink r:id="rId13" w:history="1">
        <w:r w:rsidRPr="005E14C3">
          <w:rPr>
            <w:rStyle w:val="Hyperlink"/>
            <w:rFonts w:ascii="Times New Roman" w:hAnsi="Times New Roman" w:cs="Times New Roman"/>
          </w:rPr>
          <w:t>2004</w:t>
        </w:r>
      </w:hyperlink>
      <w:r w:rsidRPr="005E14C3">
        <w:rPr>
          <w:rFonts w:ascii="Times New Roman" w:hAnsi="Times New Roman" w:cs="Times New Roman"/>
        </w:rPr>
        <w:t>)</w:t>
      </w:r>
    </w:p>
  </w:footnote>
  <w:footnote w:id="18">
    <w:p w:rsidR="00881227" w:rsidRPr="005E14C3" w:rsidRDefault="0088122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Aparna Mathur and Abby McCloskey, “Fostering Upward Economic Mobility in the United States” (American Enterprise Institute Economic Studies Series, </w:t>
      </w:r>
      <w:hyperlink r:id="rId14" w:history="1">
        <w:r w:rsidRPr="005E14C3">
          <w:rPr>
            <w:rStyle w:val="Hyperlink"/>
            <w:rFonts w:ascii="Times New Roman" w:hAnsi="Times New Roman" w:cs="Times New Roman"/>
          </w:rPr>
          <w:t>2014</w:t>
        </w:r>
      </w:hyperlink>
      <w:r w:rsidRPr="005E14C3">
        <w:rPr>
          <w:rFonts w:ascii="Times New Roman" w:hAnsi="Times New Roman" w:cs="Times New Roman"/>
        </w:rPr>
        <w:t>)</w:t>
      </w:r>
    </w:p>
  </w:footnote>
  <w:footnote w:id="19">
    <w:p w:rsidR="00924230" w:rsidRPr="005E14C3" w:rsidRDefault="00924230">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Justine S. Hastings, Christopher A. Neilson, and Seth D. Zimmerman, “The Effect of School Choice on Intrinsic Motivation and Academic Outcomes” (NBER working paper, </w:t>
      </w:r>
      <w:hyperlink r:id="rId15" w:history="1">
        <w:r w:rsidRPr="005E14C3">
          <w:rPr>
            <w:rStyle w:val="Hyperlink"/>
            <w:rFonts w:ascii="Times New Roman" w:hAnsi="Times New Roman" w:cs="Times New Roman"/>
          </w:rPr>
          <w:t>2012</w:t>
        </w:r>
      </w:hyperlink>
      <w:r w:rsidRPr="005E14C3">
        <w:rPr>
          <w:rFonts w:ascii="Times New Roman" w:hAnsi="Times New Roman" w:cs="Times New Roman"/>
        </w:rPr>
        <w:t>)</w:t>
      </w:r>
    </w:p>
  </w:footnote>
  <w:footnote w:id="20">
    <w:p w:rsidR="00BD2520" w:rsidRPr="005E14C3" w:rsidRDefault="00BD2520">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George M. Holmes, Jeff </w:t>
      </w:r>
      <w:proofErr w:type="spellStart"/>
      <w:r w:rsidRPr="005E14C3">
        <w:rPr>
          <w:rFonts w:ascii="Times New Roman" w:hAnsi="Times New Roman" w:cs="Times New Roman"/>
        </w:rPr>
        <w:t>DeSimone</w:t>
      </w:r>
      <w:proofErr w:type="spellEnd"/>
      <w:r w:rsidRPr="005E14C3">
        <w:rPr>
          <w:rFonts w:ascii="Times New Roman" w:hAnsi="Times New Roman" w:cs="Times New Roman"/>
        </w:rPr>
        <w:t xml:space="preserve">, and Nicholas G. Rupp, “Dos School Choice Increase School Quality?” (NBER working paper, </w:t>
      </w:r>
      <w:hyperlink r:id="rId16" w:history="1">
        <w:r w:rsidRPr="005E14C3">
          <w:rPr>
            <w:rStyle w:val="Hyperlink"/>
            <w:rFonts w:ascii="Times New Roman" w:hAnsi="Times New Roman" w:cs="Times New Roman"/>
          </w:rPr>
          <w:t>2003</w:t>
        </w:r>
      </w:hyperlink>
      <w:r w:rsidRPr="005E14C3">
        <w:rPr>
          <w:rFonts w:ascii="Times New Roman" w:hAnsi="Times New Roman" w:cs="Times New Roman"/>
        </w:rPr>
        <w:t>)</w:t>
      </w:r>
    </w:p>
  </w:footnote>
  <w:footnote w:id="21">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009D5B6C" w:rsidRPr="005E14C3">
        <w:rPr>
          <w:rFonts w:ascii="Times New Roman" w:hAnsi="Times New Roman" w:cs="Times New Roman"/>
        </w:rPr>
        <w:t xml:space="preserve"> </w:t>
      </w:r>
      <w:proofErr w:type="gramStart"/>
      <w:r w:rsidRPr="005E14C3">
        <w:rPr>
          <w:rFonts w:ascii="Times New Roman" w:hAnsi="Times New Roman" w:cs="Times New Roman"/>
        </w:rPr>
        <w:t>Hastings et al. (2012).</w:t>
      </w:r>
      <w:proofErr w:type="gramEnd"/>
    </w:p>
  </w:footnote>
  <w:footnote w:id="22">
    <w:p w:rsidR="00252965" w:rsidRPr="005E14C3" w:rsidRDefault="00252965">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David J. Deming, Justine S. Hastings, Thomas J. Kane, and Douglas O. </w:t>
      </w:r>
      <w:proofErr w:type="spellStart"/>
      <w:r w:rsidRPr="005E14C3">
        <w:rPr>
          <w:rFonts w:ascii="Times New Roman" w:hAnsi="Times New Roman" w:cs="Times New Roman"/>
        </w:rPr>
        <w:t>Staiger</w:t>
      </w:r>
      <w:proofErr w:type="spellEnd"/>
      <w:r w:rsidRPr="005E14C3">
        <w:rPr>
          <w:rFonts w:ascii="Times New Roman" w:hAnsi="Times New Roman" w:cs="Times New Roman"/>
        </w:rPr>
        <w:t xml:space="preserve">, “School Choice, School Quality, and Postsecondary Attainment” (NBER working paper, </w:t>
      </w:r>
      <w:hyperlink r:id="rId17" w:history="1">
        <w:r w:rsidRPr="005E14C3">
          <w:rPr>
            <w:rStyle w:val="Hyperlink"/>
            <w:rFonts w:ascii="Times New Roman" w:hAnsi="Times New Roman" w:cs="Times New Roman"/>
          </w:rPr>
          <w:t>2011</w:t>
        </w:r>
      </w:hyperlink>
      <w:r w:rsidRPr="005E14C3">
        <w:rPr>
          <w:rFonts w:ascii="Times New Roman" w:hAnsi="Times New Roman" w:cs="Times New Roman"/>
        </w:rPr>
        <w:t>)</w:t>
      </w:r>
    </w:p>
  </w:footnote>
  <w:footnote w:id="23">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Drew </w:t>
      </w:r>
      <w:proofErr w:type="spellStart"/>
      <w:r w:rsidRPr="005E14C3">
        <w:rPr>
          <w:rFonts w:ascii="Times New Roman" w:hAnsi="Times New Roman" w:cs="Times New Roman"/>
        </w:rPr>
        <w:t>DeSilver</w:t>
      </w:r>
      <w:proofErr w:type="spellEnd"/>
      <w:r w:rsidRPr="005E14C3">
        <w:rPr>
          <w:rFonts w:ascii="Times New Roman" w:hAnsi="Times New Roman" w:cs="Times New Roman"/>
        </w:rPr>
        <w:t xml:space="preserve">, “Black unemployment rate is consistently twice that of whites” (Pew Research Center, Fact Tank, </w:t>
      </w:r>
      <w:hyperlink r:id="rId18" w:history="1">
        <w:r w:rsidRPr="005E14C3">
          <w:rPr>
            <w:rStyle w:val="Hyperlink"/>
            <w:rFonts w:ascii="Times New Roman" w:hAnsi="Times New Roman" w:cs="Times New Roman"/>
          </w:rPr>
          <w:t>2013</w:t>
        </w:r>
      </w:hyperlink>
      <w:r w:rsidRPr="005E14C3">
        <w:rPr>
          <w:rFonts w:ascii="Times New Roman" w:hAnsi="Times New Roman" w:cs="Times New Roman"/>
        </w:rPr>
        <w:t>)</w:t>
      </w:r>
    </w:p>
  </w:footnote>
  <w:footnote w:id="24">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Economic Policy Institute, The State of Working America, </w:t>
      </w:r>
      <w:hyperlink r:id="rId19" w:history="1">
        <w:r w:rsidRPr="005E14C3">
          <w:rPr>
            <w:rStyle w:val="Hyperlink"/>
            <w:rFonts w:ascii="Times New Roman" w:hAnsi="Times New Roman" w:cs="Times New Roman"/>
          </w:rPr>
          <w:t>Poverty Fact Sheet</w:t>
        </w:r>
      </w:hyperlink>
    </w:p>
  </w:footnote>
  <w:footnote w:id="25">
    <w:p w:rsidR="00D13C9B" w:rsidRPr="00D13C9B" w:rsidRDefault="00D13C9B" w:rsidP="00D13C9B">
      <w:pPr>
        <w:rPr>
          <w:rFonts w:ascii="Times New Roman" w:hAnsi="Times New Roman" w:cs="Times New Roman"/>
          <w:sz w:val="20"/>
          <w:szCs w:val="20"/>
        </w:rPr>
      </w:pPr>
      <w:r w:rsidRPr="00D13C9B">
        <w:rPr>
          <w:rStyle w:val="FootnoteReference"/>
          <w:rFonts w:ascii="Times New Roman" w:hAnsi="Times New Roman" w:cs="Times New Roman"/>
          <w:sz w:val="20"/>
          <w:szCs w:val="20"/>
        </w:rPr>
        <w:footnoteRef/>
      </w:r>
      <w:r w:rsidRPr="00D13C9B">
        <w:rPr>
          <w:rFonts w:ascii="Times New Roman" w:hAnsi="Times New Roman" w:cs="Times New Roman"/>
          <w:sz w:val="20"/>
          <w:szCs w:val="20"/>
        </w:rPr>
        <w:t xml:space="preserve"> Judith K. </w:t>
      </w:r>
      <w:proofErr w:type="spellStart"/>
      <w:r w:rsidRPr="00D13C9B">
        <w:rPr>
          <w:rFonts w:ascii="Times New Roman" w:hAnsi="Times New Roman" w:cs="Times New Roman"/>
          <w:sz w:val="20"/>
          <w:szCs w:val="20"/>
        </w:rPr>
        <w:t>Hellerstein</w:t>
      </w:r>
      <w:proofErr w:type="spellEnd"/>
      <w:r w:rsidRPr="00D13C9B">
        <w:rPr>
          <w:rFonts w:ascii="Times New Roman" w:hAnsi="Times New Roman" w:cs="Times New Roman"/>
          <w:sz w:val="20"/>
          <w:szCs w:val="20"/>
        </w:rPr>
        <w:t xml:space="preserve">, David </w:t>
      </w:r>
      <w:proofErr w:type="spellStart"/>
      <w:r w:rsidRPr="00D13C9B">
        <w:rPr>
          <w:rFonts w:ascii="Times New Roman" w:hAnsi="Times New Roman" w:cs="Times New Roman"/>
          <w:sz w:val="20"/>
          <w:szCs w:val="20"/>
        </w:rPr>
        <w:t>Neumark</w:t>
      </w:r>
      <w:proofErr w:type="spellEnd"/>
      <w:r w:rsidRPr="00D13C9B">
        <w:rPr>
          <w:rFonts w:ascii="Times New Roman" w:hAnsi="Times New Roman" w:cs="Times New Roman"/>
          <w:sz w:val="20"/>
          <w:szCs w:val="20"/>
        </w:rPr>
        <w:t xml:space="preserve">, and Melissa </w:t>
      </w:r>
      <w:proofErr w:type="spellStart"/>
      <w:r w:rsidRPr="00D13C9B">
        <w:rPr>
          <w:rFonts w:ascii="Times New Roman" w:hAnsi="Times New Roman" w:cs="Times New Roman"/>
          <w:sz w:val="20"/>
          <w:szCs w:val="20"/>
        </w:rPr>
        <w:t>McInerney</w:t>
      </w:r>
      <w:proofErr w:type="spellEnd"/>
      <w:r w:rsidRPr="00D13C9B">
        <w:rPr>
          <w:rFonts w:ascii="Times New Roman" w:hAnsi="Times New Roman" w:cs="Times New Roman"/>
          <w:sz w:val="20"/>
          <w:szCs w:val="20"/>
        </w:rPr>
        <w:t>, “Spatial Mismatch or Racial Mismatch?” (NBER working paper,</w:t>
      </w:r>
      <w:r w:rsidRPr="00D13C9B">
        <w:rPr>
          <w:rStyle w:val="apple-converted-space"/>
          <w:rFonts w:ascii="Times New Roman" w:hAnsi="Times New Roman" w:cs="Times New Roman"/>
          <w:sz w:val="20"/>
          <w:szCs w:val="20"/>
        </w:rPr>
        <w:t> </w:t>
      </w:r>
      <w:hyperlink r:id="rId20" w:tgtFrame="_blank" w:history="1">
        <w:r w:rsidRPr="00D13C9B">
          <w:rPr>
            <w:rStyle w:val="Hyperlink"/>
            <w:rFonts w:ascii="Times New Roman" w:hAnsi="Times New Roman" w:cs="Times New Roman"/>
            <w:color w:val="auto"/>
            <w:sz w:val="20"/>
            <w:szCs w:val="20"/>
          </w:rPr>
          <w:t>2007</w:t>
        </w:r>
      </w:hyperlink>
      <w:r w:rsidRPr="00D13C9B">
        <w:rPr>
          <w:rFonts w:ascii="Times New Roman" w:hAnsi="Times New Roman" w:cs="Times New Roman"/>
          <w:sz w:val="20"/>
          <w:szCs w:val="20"/>
        </w:rPr>
        <w:t>)</w:t>
      </w:r>
    </w:p>
    <w:p w:rsidR="00D13C9B" w:rsidRDefault="00D13C9B">
      <w:pPr>
        <w:pStyle w:val="FootnoteText"/>
      </w:pPr>
    </w:p>
  </w:footnote>
  <w:footnote w:id="26">
    <w:p w:rsidR="00881227" w:rsidRPr="005E14C3" w:rsidRDefault="00881227" w:rsidP="00F20ECB">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For an overview of these policies, see</w:t>
      </w:r>
      <w:r w:rsidRPr="005E14C3">
        <w:rPr>
          <w:rFonts w:ascii="Times New Roman" w:hAnsi="Times New Roman" w:cs="Times New Roman"/>
          <w:color w:val="000000" w:themeColor="text1"/>
        </w:rPr>
        <w:t xml:space="preserve"> Michael R. Strain, “A Jobs Agenda for the Right” (National Affairs, </w:t>
      </w:r>
      <w:hyperlink r:id="rId21" w:history="1">
        <w:r w:rsidRPr="005E14C3">
          <w:rPr>
            <w:rStyle w:val="Hyperlink"/>
            <w:rFonts w:ascii="Times New Roman" w:hAnsi="Times New Roman" w:cs="Times New Roman"/>
          </w:rPr>
          <w:t>2014</w:t>
        </w:r>
      </w:hyperlink>
      <w:r w:rsidRPr="005E14C3">
        <w:rPr>
          <w:rFonts w:ascii="Times New Roman" w:hAnsi="Times New Roman" w:cs="Times New Roman"/>
          <w:color w:val="000000" w:themeColor="text1"/>
        </w:rPr>
        <w:t xml:space="preserve">) </w:t>
      </w:r>
      <w:r w:rsidRPr="005E14C3">
        <w:rPr>
          <w:rFonts w:ascii="Times New Roman" w:eastAsia="Times New Roman" w:hAnsi="Times New Roman" w:cs="Times New Roman"/>
          <w:color w:val="000000" w:themeColor="text1"/>
        </w:rPr>
        <w:t>and</w:t>
      </w:r>
      <w:r w:rsidRPr="005E14C3">
        <w:rPr>
          <w:rFonts w:ascii="Times New Roman" w:hAnsi="Times New Roman" w:cs="Times New Roman"/>
        </w:rPr>
        <w:t xml:space="preserve"> Aparna Mathur, “Statement Prepared for the Joint Economic Committee Hearing on Income Inequality in the United States” (</w:t>
      </w:r>
      <w:hyperlink r:id="rId22" w:history="1">
        <w:r w:rsidRPr="005E14C3">
          <w:rPr>
            <w:rStyle w:val="Hyperlink"/>
            <w:rFonts w:ascii="Times New Roman" w:hAnsi="Times New Roman" w:cs="Times New Roman"/>
          </w:rPr>
          <w:t>2014</w:t>
        </w:r>
      </w:hyperlink>
      <w:r w:rsidRPr="005E14C3">
        <w:rPr>
          <w:rFonts w:ascii="Times New Roman" w:hAnsi="Times New Roman" w:cs="Times New Roman"/>
        </w:rPr>
        <w:t>)</w:t>
      </w:r>
    </w:p>
  </w:footnote>
  <w:footnote w:id="27">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gramStart"/>
      <w:r w:rsidR="00393BC9" w:rsidRPr="005E14C3">
        <w:rPr>
          <w:rFonts w:ascii="Times New Roman" w:hAnsi="Times New Roman" w:cs="Times New Roman"/>
        </w:rPr>
        <w:t>From the</w:t>
      </w:r>
      <w:r w:rsidRPr="005E14C3">
        <w:rPr>
          <w:rFonts w:ascii="Times New Roman" w:hAnsi="Times New Roman" w:cs="Times New Roman"/>
        </w:rPr>
        <w:t xml:space="preserve"> </w:t>
      </w:r>
      <w:hyperlink r:id="rId23" w:history="1">
        <w:r w:rsidRPr="005E14C3">
          <w:rPr>
            <w:rStyle w:val="Hyperlink"/>
            <w:rFonts w:ascii="Times New Roman" w:hAnsi="Times New Roman" w:cs="Times New Roman"/>
          </w:rPr>
          <w:t>Bureau of Labor Statistics</w:t>
        </w:r>
      </w:hyperlink>
      <w:r w:rsidRPr="005E14C3">
        <w:rPr>
          <w:rFonts w:ascii="Times New Roman" w:hAnsi="Times New Roman" w:cs="Times New Roman"/>
        </w:rPr>
        <w:t>.</w:t>
      </w:r>
      <w:proofErr w:type="gramEnd"/>
    </w:p>
  </w:footnote>
  <w:footnote w:id="28">
    <w:p w:rsidR="00A24006" w:rsidRPr="005E14C3" w:rsidRDefault="00A24006" w:rsidP="00A24006">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Robert J. </w:t>
      </w:r>
      <w:proofErr w:type="spellStart"/>
      <w:r w:rsidRPr="005E14C3">
        <w:rPr>
          <w:rFonts w:ascii="Times New Roman" w:hAnsi="Times New Roman" w:cs="Times New Roman"/>
        </w:rPr>
        <w:t>LaLonde</w:t>
      </w:r>
      <w:proofErr w:type="spellEnd"/>
      <w:r w:rsidRPr="005E14C3">
        <w:rPr>
          <w:rFonts w:ascii="Times New Roman" w:hAnsi="Times New Roman" w:cs="Times New Roman"/>
        </w:rPr>
        <w:t xml:space="preserve">, “Employment and Training Programs” (NBER volume titled “Means-Tested Transfer Programs in the United States”, </w:t>
      </w:r>
      <w:hyperlink r:id="rId24" w:history="1">
        <w:r w:rsidRPr="005E14C3">
          <w:rPr>
            <w:rStyle w:val="Hyperlink"/>
            <w:rFonts w:ascii="Times New Roman" w:hAnsi="Times New Roman" w:cs="Times New Roman"/>
          </w:rPr>
          <w:t>2003</w:t>
        </w:r>
      </w:hyperlink>
      <w:r w:rsidRPr="005E14C3">
        <w:rPr>
          <w:rFonts w:ascii="Times New Roman" w:hAnsi="Times New Roman" w:cs="Times New Roman"/>
        </w:rPr>
        <w:t>)</w:t>
      </w:r>
    </w:p>
  </w:footnote>
  <w:footnote w:id="29">
    <w:p w:rsidR="00881227" w:rsidRPr="005E14C3" w:rsidRDefault="00881227" w:rsidP="001F7482">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Pr="005E14C3">
        <w:rPr>
          <w:rFonts w:ascii="Times New Roman" w:hAnsi="Times New Roman" w:cs="Times New Roman"/>
        </w:rPr>
        <w:t>Eissa</w:t>
      </w:r>
      <w:proofErr w:type="spellEnd"/>
      <w:r w:rsidRPr="005E14C3">
        <w:rPr>
          <w:rFonts w:ascii="Times New Roman" w:hAnsi="Times New Roman" w:cs="Times New Roman"/>
        </w:rPr>
        <w:t xml:space="preserve"> and </w:t>
      </w:r>
      <w:proofErr w:type="spellStart"/>
      <w:r w:rsidRPr="005E14C3">
        <w:rPr>
          <w:rFonts w:ascii="Times New Roman" w:hAnsi="Times New Roman" w:cs="Times New Roman"/>
        </w:rPr>
        <w:t>Liebman</w:t>
      </w:r>
      <w:proofErr w:type="spellEnd"/>
      <w:r w:rsidRPr="005E14C3">
        <w:rPr>
          <w:rFonts w:ascii="Times New Roman" w:hAnsi="Times New Roman" w:cs="Times New Roman"/>
        </w:rPr>
        <w:t xml:space="preserve"> (1996) and Meyer and Rosenbaum (1999a and 1999b) have directly estimated the effects of the EITC on the labor supply of single women with children. Both papers find that the expansion of the EITC raised work activity work activity among this group. </w:t>
      </w:r>
      <w:proofErr w:type="spellStart"/>
      <w:r w:rsidRPr="005E14C3">
        <w:rPr>
          <w:rFonts w:ascii="Times New Roman" w:hAnsi="Times New Roman" w:cs="Times New Roman"/>
        </w:rPr>
        <w:t>Hotz</w:t>
      </w:r>
      <w:proofErr w:type="spellEnd"/>
      <w:r w:rsidRPr="005E14C3">
        <w:rPr>
          <w:rFonts w:ascii="Times New Roman" w:hAnsi="Times New Roman" w:cs="Times New Roman"/>
        </w:rPr>
        <w:t xml:space="preserve"> et al. (2005) finds similar results for disadvantaged groups. </w:t>
      </w:r>
    </w:p>
  </w:footnote>
  <w:footnote w:id="30">
    <w:p w:rsidR="005E14C3" w:rsidRPr="005E14C3" w:rsidRDefault="005E14C3" w:rsidP="005E14C3">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David </w:t>
      </w:r>
      <w:proofErr w:type="spellStart"/>
      <w:r w:rsidRPr="005E14C3">
        <w:rPr>
          <w:rFonts w:ascii="Times New Roman" w:hAnsi="Times New Roman" w:cs="Times New Roman"/>
        </w:rPr>
        <w:t>Neumar</w:t>
      </w:r>
      <w:r>
        <w:rPr>
          <w:rFonts w:ascii="Times New Roman" w:hAnsi="Times New Roman" w:cs="Times New Roman"/>
        </w:rPr>
        <w:t>k</w:t>
      </w:r>
      <w:proofErr w:type="spellEnd"/>
      <w:r>
        <w:rPr>
          <w:rFonts w:ascii="Times New Roman" w:hAnsi="Times New Roman" w:cs="Times New Roman"/>
        </w:rPr>
        <w:t xml:space="preserve"> and William </w:t>
      </w:r>
      <w:proofErr w:type="spellStart"/>
      <w:r>
        <w:rPr>
          <w:rFonts w:ascii="Times New Roman" w:hAnsi="Times New Roman" w:cs="Times New Roman"/>
        </w:rPr>
        <w:t>Wascher</w:t>
      </w:r>
      <w:proofErr w:type="spellEnd"/>
      <w:r>
        <w:rPr>
          <w:rFonts w:ascii="Times New Roman" w:hAnsi="Times New Roman" w:cs="Times New Roman"/>
        </w:rPr>
        <w:t xml:space="preserve">, “Using the EITC to Help Poor Families: New Evidence and a Comparison with the Minimum Wage” (NBER working paper, </w:t>
      </w:r>
      <w:hyperlink r:id="rId25" w:history="1">
        <w:r w:rsidRPr="005E14C3">
          <w:rPr>
            <w:rStyle w:val="Hyperlink"/>
            <w:rFonts w:ascii="Times New Roman" w:hAnsi="Times New Roman" w:cs="Times New Roman"/>
          </w:rPr>
          <w:t>2000</w:t>
        </w:r>
      </w:hyperlink>
      <w:r>
        <w:rPr>
          <w:rFonts w:ascii="Times New Roman" w:hAnsi="Times New Roman" w:cs="Times New Roman"/>
        </w:rPr>
        <w:t>)</w:t>
      </w:r>
    </w:p>
  </w:footnote>
  <w:footnote w:id="31">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Gordon Dahl and Lance </w:t>
      </w:r>
      <w:proofErr w:type="spellStart"/>
      <w:r w:rsidRPr="005E14C3">
        <w:rPr>
          <w:rFonts w:ascii="Times New Roman" w:hAnsi="Times New Roman" w:cs="Times New Roman"/>
        </w:rPr>
        <w:t>Lochner</w:t>
      </w:r>
      <w:proofErr w:type="spellEnd"/>
      <w:r w:rsidRPr="005E14C3">
        <w:rPr>
          <w:rFonts w:ascii="Times New Roman" w:hAnsi="Times New Roman" w:cs="Times New Roman"/>
        </w:rPr>
        <w:t xml:space="preserve">, "The Impact of Family Income on Child Achievement" (NBER working paper,  </w:t>
      </w:r>
      <w:hyperlink r:id="rId26" w:history="1">
        <w:r w:rsidRPr="005E14C3">
          <w:rPr>
            <w:rStyle w:val="Hyperlink"/>
            <w:rFonts w:ascii="Times New Roman" w:hAnsi="Times New Roman" w:cs="Times New Roman"/>
          </w:rPr>
          <w:t>2008</w:t>
        </w:r>
      </w:hyperlink>
      <w:r w:rsidRPr="005E14C3">
        <w:rPr>
          <w:rFonts w:ascii="Times New Roman" w:hAnsi="Times New Roman" w:cs="Times New Roman"/>
        </w:rPr>
        <w:t>)</w:t>
      </w:r>
    </w:p>
  </w:footnote>
  <w:footnote w:id="32">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Greg J. Duncan, Pamela A. Morris, and Chris Rodrigues, “Does Money Really Matter? Estimating Impacts of Family Income on Young Children's Achievement With Data From Random-Assignment Experiments,” </w:t>
      </w:r>
      <w:r w:rsidRPr="005E14C3">
        <w:rPr>
          <w:rFonts w:ascii="Times New Roman" w:hAnsi="Times New Roman" w:cs="Times New Roman"/>
          <w:i/>
        </w:rPr>
        <w:t>Developmental Psychology</w:t>
      </w:r>
      <w:r w:rsidRPr="005E14C3">
        <w:rPr>
          <w:rFonts w:ascii="Times New Roman" w:hAnsi="Times New Roman" w:cs="Times New Roman"/>
        </w:rPr>
        <w:t xml:space="preserve">, </w:t>
      </w:r>
      <w:hyperlink r:id="rId27" w:history="1">
        <w:r w:rsidRPr="005E14C3">
          <w:rPr>
            <w:rStyle w:val="Hyperlink"/>
            <w:rFonts w:ascii="Times New Roman" w:hAnsi="Times New Roman" w:cs="Times New Roman"/>
          </w:rPr>
          <w:t>2011</w:t>
        </w:r>
      </w:hyperlink>
    </w:p>
  </w:footnote>
  <w:footnote w:id="33">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Nada </w:t>
      </w:r>
      <w:proofErr w:type="spellStart"/>
      <w:r w:rsidRPr="005E14C3">
        <w:rPr>
          <w:rFonts w:ascii="Times New Roman" w:hAnsi="Times New Roman" w:cs="Times New Roman"/>
        </w:rPr>
        <w:t>Eissa</w:t>
      </w:r>
      <w:proofErr w:type="spellEnd"/>
      <w:r w:rsidRPr="005E14C3">
        <w:rPr>
          <w:rFonts w:ascii="Times New Roman" w:hAnsi="Times New Roman" w:cs="Times New Roman"/>
        </w:rPr>
        <w:t xml:space="preserve"> and Hilary </w:t>
      </w:r>
      <w:proofErr w:type="spellStart"/>
      <w:r w:rsidRPr="005E14C3">
        <w:rPr>
          <w:rFonts w:ascii="Times New Roman" w:hAnsi="Times New Roman" w:cs="Times New Roman"/>
        </w:rPr>
        <w:t>Hoynes</w:t>
      </w:r>
      <w:proofErr w:type="spellEnd"/>
      <w:r w:rsidRPr="005E14C3">
        <w:rPr>
          <w:rFonts w:ascii="Times New Roman" w:hAnsi="Times New Roman" w:cs="Times New Roman"/>
        </w:rPr>
        <w:t xml:space="preserve">, "Behavioral Responses to Taxes: Lessons from the EITC and Labor Supply" (NBER working paper, </w:t>
      </w:r>
      <w:hyperlink r:id="rId28" w:history="1">
        <w:r w:rsidRPr="005E14C3">
          <w:rPr>
            <w:rStyle w:val="Hyperlink"/>
            <w:rFonts w:ascii="Times New Roman" w:hAnsi="Times New Roman" w:cs="Times New Roman"/>
          </w:rPr>
          <w:t>2005</w:t>
        </w:r>
      </w:hyperlink>
      <w:r w:rsidRPr="005E14C3">
        <w:rPr>
          <w:rFonts w:ascii="Times New Roman" w:hAnsi="Times New Roman" w:cs="Times New Roman"/>
        </w:rPr>
        <w:t>)</w:t>
      </w:r>
    </w:p>
  </w:footnote>
  <w:footnote w:id="34">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Dahl and </w:t>
      </w:r>
      <w:proofErr w:type="spellStart"/>
      <w:r w:rsidRPr="005E14C3">
        <w:rPr>
          <w:rFonts w:ascii="Times New Roman" w:hAnsi="Times New Roman" w:cs="Times New Roman"/>
        </w:rPr>
        <w:t>Lochner</w:t>
      </w:r>
      <w:proofErr w:type="spellEnd"/>
      <w:r w:rsidRPr="005E14C3">
        <w:rPr>
          <w:rFonts w:ascii="Times New Roman" w:hAnsi="Times New Roman" w:cs="Times New Roman"/>
        </w:rPr>
        <w:t xml:space="preserve"> (2008)</w:t>
      </w:r>
    </w:p>
  </w:footnote>
  <w:footnote w:id="35">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Saul D. Hoffman and Laurence S. </w:t>
      </w:r>
      <w:proofErr w:type="spellStart"/>
      <w:r w:rsidRPr="005E14C3">
        <w:rPr>
          <w:rFonts w:ascii="Times New Roman" w:hAnsi="Times New Roman" w:cs="Times New Roman"/>
        </w:rPr>
        <w:t>Seidman</w:t>
      </w:r>
      <w:proofErr w:type="spellEnd"/>
      <w:r w:rsidRPr="005E14C3">
        <w:rPr>
          <w:rFonts w:ascii="Times New Roman" w:hAnsi="Times New Roman" w:cs="Times New Roman"/>
        </w:rPr>
        <w:t xml:space="preserve">, </w:t>
      </w:r>
      <w:r w:rsidRPr="005E14C3">
        <w:rPr>
          <w:rFonts w:ascii="Times New Roman" w:hAnsi="Times New Roman" w:cs="Times New Roman"/>
          <w:i/>
        </w:rPr>
        <w:t>Helping Working Families: The Earned Income Tax Credit</w:t>
      </w:r>
      <w:r w:rsidRPr="005E14C3">
        <w:rPr>
          <w:rFonts w:ascii="Times New Roman" w:hAnsi="Times New Roman" w:cs="Times New Roman"/>
        </w:rPr>
        <w:t xml:space="preserve">, W.E. Upjohn Institute, </w:t>
      </w:r>
      <w:hyperlink r:id="rId29" w:anchor="v=onepage&amp;q=reforming%20EITC&amp;f=false" w:history="1">
        <w:r w:rsidRPr="005E14C3">
          <w:rPr>
            <w:rStyle w:val="Hyperlink"/>
            <w:rFonts w:ascii="Times New Roman" w:hAnsi="Times New Roman" w:cs="Times New Roman"/>
          </w:rPr>
          <w:t>2003</w:t>
        </w:r>
      </w:hyperlink>
    </w:p>
  </w:footnote>
  <w:footnote w:id="36">
    <w:p w:rsidR="00881227" w:rsidRPr="005E14C3" w:rsidRDefault="00881227" w:rsidP="002B4804">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Bruce D. Meyer, “The Effects of the Earned Income Tax Credit and Recent Reforms” (NBER volume titled “Tax Policy and the Economy, Volume 24”, </w:t>
      </w:r>
      <w:hyperlink r:id="rId30" w:history="1">
        <w:r w:rsidRPr="005E14C3">
          <w:rPr>
            <w:rStyle w:val="Hyperlink"/>
            <w:rFonts w:ascii="Times New Roman" w:hAnsi="Times New Roman" w:cs="Times New Roman"/>
          </w:rPr>
          <w:t>2010</w:t>
        </w:r>
      </w:hyperlink>
      <w:hyperlink r:id="rId31" w:history="1"/>
      <w:r w:rsidRPr="005E14C3">
        <w:rPr>
          <w:rFonts w:ascii="Times New Roman" w:hAnsi="Times New Roman" w:cs="Times New Roman"/>
        </w:rPr>
        <w:t>)</w:t>
      </w:r>
    </w:p>
  </w:footnote>
  <w:footnote w:id="37">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Pr="005E14C3">
        <w:rPr>
          <w:rFonts w:ascii="Times New Roman" w:hAnsi="Times New Roman" w:cs="Times New Roman"/>
        </w:rPr>
        <w:t>Eissa</w:t>
      </w:r>
      <w:proofErr w:type="spellEnd"/>
      <w:r w:rsidRPr="005E14C3">
        <w:rPr>
          <w:rFonts w:ascii="Times New Roman" w:hAnsi="Times New Roman" w:cs="Times New Roman"/>
        </w:rPr>
        <w:t xml:space="preserve"> and </w:t>
      </w:r>
      <w:proofErr w:type="spellStart"/>
      <w:r w:rsidRPr="005E14C3">
        <w:rPr>
          <w:rFonts w:ascii="Times New Roman" w:hAnsi="Times New Roman" w:cs="Times New Roman"/>
        </w:rPr>
        <w:t>Hoynes</w:t>
      </w:r>
      <w:proofErr w:type="spellEnd"/>
      <w:r w:rsidRPr="005E14C3">
        <w:rPr>
          <w:rFonts w:ascii="Times New Roman" w:hAnsi="Times New Roman" w:cs="Times New Roman"/>
        </w:rPr>
        <w:t xml:space="preserve"> (2005)</w:t>
      </w:r>
    </w:p>
  </w:footnote>
  <w:footnote w:id="38">
    <w:p w:rsidR="003F44B0" w:rsidRPr="003F44B0" w:rsidRDefault="003F44B0">
      <w:pPr>
        <w:pStyle w:val="FootnoteText"/>
      </w:pPr>
      <w:r>
        <w:rPr>
          <w:rStyle w:val="FootnoteReference"/>
        </w:rPr>
        <w:footnoteRef/>
      </w:r>
      <w:r>
        <w:t xml:space="preserve"> Janet </w:t>
      </w:r>
      <w:proofErr w:type="spellStart"/>
      <w:r>
        <w:t>Holtzblatt</w:t>
      </w:r>
      <w:proofErr w:type="spellEnd"/>
      <w:r>
        <w:t xml:space="preserve"> and Robert </w:t>
      </w:r>
      <w:proofErr w:type="spellStart"/>
      <w:r>
        <w:t>Rebelein</w:t>
      </w:r>
      <w:proofErr w:type="spellEnd"/>
      <w:r>
        <w:t xml:space="preserve">, “Measuring the Effect of the EITC on Marriage Penalties and Bonuses” in </w:t>
      </w:r>
      <w:r>
        <w:rPr>
          <w:i/>
        </w:rPr>
        <w:t>Making Work Pay: The Earned Income Tax Credit and Its Impact on America’s Families</w:t>
      </w:r>
      <w:r>
        <w:t xml:space="preserve"> (Russell Sage, Foundation, </w:t>
      </w:r>
      <w:hyperlink r:id="rId32" w:history="1">
        <w:r w:rsidRPr="003F44B0">
          <w:rPr>
            <w:rStyle w:val="Hyperlink"/>
          </w:rPr>
          <w:t>2002</w:t>
        </w:r>
      </w:hyperlink>
      <w:r>
        <w:t>)</w:t>
      </w:r>
    </w:p>
  </w:footnote>
  <w:footnote w:id="39">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Congressional Budget Office, “Effective Marginal Tax Rates for Low-and-Moderate Income Workers” (</w:t>
      </w:r>
      <w:hyperlink r:id="rId33" w:history="1">
        <w:r w:rsidRPr="005E14C3">
          <w:rPr>
            <w:rStyle w:val="Hyperlink"/>
            <w:rFonts w:ascii="Times New Roman" w:hAnsi="Times New Roman" w:cs="Times New Roman"/>
          </w:rPr>
          <w:t>2012</w:t>
        </w:r>
      </w:hyperlink>
      <w:r w:rsidRPr="005E14C3">
        <w:rPr>
          <w:rFonts w:ascii="Times New Roman" w:hAnsi="Times New Roman" w:cs="Times New Roman"/>
        </w:rPr>
        <w:t xml:space="preserve">) </w:t>
      </w:r>
    </w:p>
  </w:footnote>
  <w:footnote w:id="40">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Pr="005E14C3">
        <w:rPr>
          <w:rFonts w:ascii="Times New Roman" w:hAnsi="Times New Roman" w:cs="Times New Roman"/>
        </w:rPr>
        <w:t>Mazumder</w:t>
      </w:r>
      <w:proofErr w:type="spellEnd"/>
      <w:r w:rsidRPr="005E14C3">
        <w:rPr>
          <w:rFonts w:ascii="Times New Roman" w:hAnsi="Times New Roman" w:cs="Times New Roman"/>
        </w:rPr>
        <w:t xml:space="preserve"> (2012)</w:t>
      </w:r>
    </w:p>
  </w:footnote>
  <w:footnote w:id="41">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Roland G. Fryer, Jr. and Steven D. Levitt, “Understanding the Black-White Test Score Gap in the First Two Years of School” (NBER working paper, </w:t>
      </w:r>
      <w:hyperlink r:id="rId34" w:history="1">
        <w:r w:rsidRPr="005E14C3">
          <w:rPr>
            <w:rStyle w:val="Hyperlink"/>
            <w:rFonts w:ascii="Times New Roman" w:hAnsi="Times New Roman" w:cs="Times New Roman"/>
          </w:rPr>
          <w:t>2002</w:t>
        </w:r>
      </w:hyperlink>
      <w:r w:rsidRPr="005E14C3">
        <w:rPr>
          <w:rFonts w:ascii="Times New Roman" w:hAnsi="Times New Roman" w:cs="Times New Roman"/>
        </w:rPr>
        <w:t>)</w:t>
      </w:r>
    </w:p>
  </w:footnote>
  <w:footnote w:id="42">
    <w:p w:rsidR="00881227" w:rsidRPr="005E14C3" w:rsidRDefault="00881227" w:rsidP="003A18FF">
      <w:pPr>
        <w:pStyle w:val="FootnoteText"/>
        <w:rPr>
          <w:rFonts w:ascii="Times New Roman" w:hAnsi="Times New Roman" w:cs="Times New Roman"/>
          <w:color w:val="000000" w:themeColor="text1"/>
        </w:rPr>
      </w:pPr>
      <w:r w:rsidRPr="005E14C3">
        <w:rPr>
          <w:rStyle w:val="FootnoteReference"/>
          <w:rFonts w:ascii="Times New Roman" w:hAnsi="Times New Roman" w:cs="Times New Roman"/>
          <w:color w:val="000000" w:themeColor="text1"/>
        </w:rPr>
        <w:footnoteRef/>
      </w:r>
      <w:r w:rsidRPr="005E14C3">
        <w:rPr>
          <w:rFonts w:ascii="Times New Roman" w:hAnsi="Times New Roman" w:cs="Times New Roman"/>
          <w:color w:val="000000" w:themeColor="text1"/>
        </w:rPr>
        <w:t xml:space="preserve"> US Department of Education, “Trends in High School Dropout and Completion Rates in the US: 1972-2009” (</w:t>
      </w:r>
      <w:hyperlink r:id="rId35" w:history="1">
        <w:r w:rsidRPr="005E14C3">
          <w:rPr>
            <w:rStyle w:val="Hyperlink"/>
            <w:rFonts w:ascii="Times New Roman" w:hAnsi="Times New Roman" w:cs="Times New Roman"/>
          </w:rPr>
          <w:t>2012</w:t>
        </w:r>
      </w:hyperlink>
      <w:r w:rsidRPr="005E14C3">
        <w:rPr>
          <w:rFonts w:ascii="Times New Roman" w:hAnsi="Times New Roman" w:cs="Times New Roman"/>
          <w:color w:val="000000" w:themeColor="text1"/>
        </w:rPr>
        <w:t>)</w:t>
      </w:r>
    </w:p>
  </w:footnote>
  <w:footnote w:id="43">
    <w:p w:rsidR="00881227" w:rsidRPr="005E14C3" w:rsidRDefault="00881227" w:rsidP="003A18FF">
      <w:pPr>
        <w:pStyle w:val="FootnoteText"/>
        <w:rPr>
          <w:rFonts w:ascii="Times New Roman" w:hAnsi="Times New Roman" w:cs="Times New Roman"/>
          <w:color w:val="000000" w:themeColor="text1"/>
        </w:rPr>
      </w:pPr>
      <w:r w:rsidRPr="005E14C3">
        <w:rPr>
          <w:rStyle w:val="FootnoteReference"/>
          <w:rFonts w:ascii="Times New Roman" w:hAnsi="Times New Roman" w:cs="Times New Roman"/>
          <w:color w:val="000000" w:themeColor="text1"/>
        </w:rPr>
        <w:footnoteRef/>
      </w:r>
      <w:r w:rsidRPr="005E14C3">
        <w:rPr>
          <w:rFonts w:ascii="Times New Roman" w:hAnsi="Times New Roman" w:cs="Times New Roman"/>
          <w:color w:val="000000" w:themeColor="text1"/>
        </w:rPr>
        <w:t xml:space="preserve"> Hilary </w:t>
      </w:r>
      <w:proofErr w:type="spellStart"/>
      <w:r w:rsidRPr="005E14C3">
        <w:rPr>
          <w:rFonts w:ascii="Times New Roman" w:hAnsi="Times New Roman" w:cs="Times New Roman"/>
          <w:color w:val="000000" w:themeColor="text1"/>
        </w:rPr>
        <w:t>Hoynes</w:t>
      </w:r>
      <w:proofErr w:type="spellEnd"/>
      <w:r w:rsidRPr="005E14C3">
        <w:rPr>
          <w:rFonts w:ascii="Times New Roman" w:hAnsi="Times New Roman" w:cs="Times New Roman"/>
          <w:color w:val="000000" w:themeColor="text1"/>
        </w:rPr>
        <w:t xml:space="preserve">, Marianne Page, and Ann Stevens, “Poverty in America: Trends and Explanations.” (NBER working paper, </w:t>
      </w:r>
      <w:hyperlink r:id="rId36" w:history="1">
        <w:r w:rsidRPr="005E14C3">
          <w:rPr>
            <w:rStyle w:val="Hyperlink"/>
            <w:rFonts w:ascii="Times New Roman" w:hAnsi="Times New Roman" w:cs="Times New Roman"/>
          </w:rPr>
          <w:t>2005</w:t>
        </w:r>
      </w:hyperlink>
      <w:r w:rsidRPr="005E14C3">
        <w:rPr>
          <w:rFonts w:ascii="Times New Roman" w:hAnsi="Times New Roman" w:cs="Times New Roman"/>
          <w:color w:val="000000" w:themeColor="text1"/>
        </w:rPr>
        <w:t>)</w:t>
      </w:r>
    </w:p>
  </w:footnote>
  <w:footnote w:id="44">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National Center for Education Statistics </w:t>
      </w:r>
      <w:hyperlink r:id="rId37" w:history="1">
        <w:r w:rsidRPr="005E14C3">
          <w:rPr>
            <w:rStyle w:val="Hyperlink"/>
            <w:rFonts w:ascii="Times New Roman" w:hAnsi="Times New Roman" w:cs="Times New Roman"/>
          </w:rPr>
          <w:t>Fast Facts</w:t>
        </w:r>
      </w:hyperlink>
    </w:p>
  </w:footnote>
  <w:footnote w:id="45">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hyperlink r:id="rId38" w:history="1">
        <w:r w:rsidRPr="005E14C3">
          <w:rPr>
            <w:rStyle w:val="Hyperlink"/>
            <w:rFonts w:ascii="Times New Roman" w:hAnsi="Times New Roman" w:cs="Times New Roman"/>
          </w:rPr>
          <w:t>National Poverty Center</w:t>
        </w:r>
      </w:hyperlink>
      <w:r w:rsidRPr="005E14C3">
        <w:rPr>
          <w:rFonts w:ascii="Times New Roman" w:hAnsi="Times New Roman" w:cs="Times New Roman"/>
        </w:rPr>
        <w:t>, Gerald R. Ford School of Public Policy, University of Michigan</w:t>
      </w:r>
    </w:p>
  </w:footnote>
  <w:footnote w:id="46">
    <w:p w:rsidR="00881227" w:rsidRPr="005E14C3" w:rsidRDefault="00881227" w:rsidP="003A18FF">
      <w:pPr>
        <w:pStyle w:val="FootnoteText"/>
        <w:rPr>
          <w:rFonts w:ascii="Times New Roman" w:hAnsi="Times New Roman" w:cs="Times New Roman"/>
          <w:color w:val="000000" w:themeColor="text1"/>
          <w:sz w:val="22"/>
          <w:szCs w:val="22"/>
        </w:rPr>
      </w:pPr>
      <w:r w:rsidRPr="005E14C3">
        <w:rPr>
          <w:rStyle w:val="FootnoteReference"/>
          <w:rFonts w:ascii="Times New Roman" w:hAnsi="Times New Roman" w:cs="Times New Roman"/>
          <w:color w:val="000000" w:themeColor="text1"/>
        </w:rPr>
        <w:footnoteRef/>
      </w:r>
      <w:r w:rsidRPr="005E14C3">
        <w:rPr>
          <w:rFonts w:ascii="Times New Roman" w:hAnsi="Times New Roman" w:cs="Times New Roman"/>
          <w:color w:val="000000" w:themeColor="text1"/>
        </w:rPr>
        <w:t xml:space="preserve"> Derek </w:t>
      </w:r>
      <w:proofErr w:type="spellStart"/>
      <w:r w:rsidRPr="005E14C3">
        <w:rPr>
          <w:rFonts w:ascii="Times New Roman" w:hAnsi="Times New Roman" w:cs="Times New Roman"/>
          <w:color w:val="000000" w:themeColor="text1"/>
        </w:rPr>
        <w:t>Messacar</w:t>
      </w:r>
      <w:proofErr w:type="spellEnd"/>
      <w:r w:rsidRPr="005E14C3">
        <w:rPr>
          <w:rFonts w:ascii="Times New Roman" w:hAnsi="Times New Roman" w:cs="Times New Roman"/>
          <w:color w:val="000000" w:themeColor="text1"/>
        </w:rPr>
        <w:t xml:space="preserve"> and Philip </w:t>
      </w:r>
      <w:proofErr w:type="spellStart"/>
      <w:r w:rsidRPr="005E14C3">
        <w:rPr>
          <w:rFonts w:ascii="Times New Roman" w:hAnsi="Times New Roman" w:cs="Times New Roman"/>
          <w:color w:val="000000" w:themeColor="text1"/>
        </w:rPr>
        <w:t>Oreopoulos</w:t>
      </w:r>
      <w:proofErr w:type="spellEnd"/>
      <w:r w:rsidRPr="005E14C3">
        <w:rPr>
          <w:rFonts w:ascii="Times New Roman" w:hAnsi="Times New Roman" w:cs="Times New Roman"/>
          <w:color w:val="000000" w:themeColor="text1"/>
        </w:rPr>
        <w:t xml:space="preserve">, “Staying in School: A Proposal to Raise High School Graduation” (Discussion Paper from The Hamilton Project, </w:t>
      </w:r>
      <w:hyperlink r:id="rId39" w:history="1">
        <w:r w:rsidRPr="005E14C3">
          <w:rPr>
            <w:rStyle w:val="Hyperlink"/>
            <w:rFonts w:ascii="Times New Roman" w:hAnsi="Times New Roman" w:cs="Times New Roman"/>
          </w:rPr>
          <w:t>2012</w:t>
        </w:r>
      </w:hyperlink>
      <w:r w:rsidRPr="005E14C3">
        <w:rPr>
          <w:rFonts w:ascii="Times New Roman" w:hAnsi="Times New Roman" w:cs="Times New Roman"/>
          <w:color w:val="000000" w:themeColor="text1"/>
        </w:rPr>
        <w:t>)</w:t>
      </w:r>
    </w:p>
  </w:footnote>
  <w:footnote w:id="47">
    <w:p w:rsidR="00881227" w:rsidRPr="005E14C3" w:rsidRDefault="0088122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Thomas Dee, “Conditional Cash Penalties in Education: Evidence from the </w:t>
      </w:r>
      <w:proofErr w:type="spellStart"/>
      <w:r w:rsidRPr="005E14C3">
        <w:rPr>
          <w:rFonts w:ascii="Times New Roman" w:hAnsi="Times New Roman" w:cs="Times New Roman"/>
        </w:rPr>
        <w:t>Learnfare</w:t>
      </w:r>
      <w:proofErr w:type="spellEnd"/>
      <w:r w:rsidRPr="005E14C3">
        <w:rPr>
          <w:rFonts w:ascii="Times New Roman" w:hAnsi="Times New Roman" w:cs="Times New Roman"/>
        </w:rPr>
        <w:t xml:space="preserve"> Experiment,” </w:t>
      </w:r>
      <w:r w:rsidRPr="005E14C3">
        <w:rPr>
          <w:rFonts w:ascii="Times New Roman" w:hAnsi="Times New Roman" w:cs="Times New Roman"/>
          <w:i/>
        </w:rPr>
        <w:t>Economics of Education Review</w:t>
      </w:r>
      <w:r w:rsidRPr="005E14C3">
        <w:rPr>
          <w:rFonts w:ascii="Times New Roman" w:hAnsi="Times New Roman" w:cs="Times New Roman"/>
        </w:rPr>
        <w:t xml:space="preserve">, </w:t>
      </w:r>
      <w:hyperlink r:id="rId40" w:history="1">
        <w:r w:rsidRPr="005E14C3">
          <w:rPr>
            <w:rStyle w:val="Hyperlink"/>
            <w:rFonts w:ascii="Times New Roman" w:hAnsi="Times New Roman" w:cs="Times New Roman"/>
          </w:rPr>
          <w:t>2011</w:t>
        </w:r>
      </w:hyperlink>
    </w:p>
  </w:footnote>
  <w:footnote w:id="48">
    <w:p w:rsidR="00881227" w:rsidRPr="005E14C3" w:rsidRDefault="00881227" w:rsidP="003A18FF">
      <w:pPr>
        <w:pStyle w:val="FootnoteText"/>
        <w:rPr>
          <w:rFonts w:ascii="Times New Roman" w:hAnsi="Times New Roman" w:cs="Times New Roman"/>
          <w:sz w:val="22"/>
          <w:szCs w:val="22"/>
        </w:rPr>
      </w:pPr>
      <w:r w:rsidRPr="005E14C3">
        <w:rPr>
          <w:rStyle w:val="FootnoteReference"/>
          <w:rFonts w:ascii="Times New Roman" w:hAnsi="Times New Roman" w:cs="Times New Roman"/>
          <w:sz w:val="22"/>
          <w:szCs w:val="22"/>
        </w:rPr>
        <w:footnoteRef/>
      </w:r>
      <w:r w:rsidRPr="005E14C3">
        <w:rPr>
          <w:rFonts w:ascii="Times New Roman" w:hAnsi="Times New Roman" w:cs="Times New Roman"/>
          <w:sz w:val="22"/>
          <w:szCs w:val="22"/>
        </w:rPr>
        <w:t xml:space="preserve"> </w:t>
      </w:r>
      <w:r w:rsidRPr="005E14C3">
        <w:rPr>
          <w:rFonts w:ascii="Times New Roman" w:eastAsia="Times New Roman" w:hAnsi="Times New Roman" w:cs="Times New Roman"/>
        </w:rPr>
        <w:t xml:space="preserve">The program included other incentives such as career counseling and finances for books and transportation, which may have influenced graduation rates too. </w:t>
      </w:r>
      <w:proofErr w:type="gramStart"/>
      <w:r w:rsidRPr="005E14C3">
        <w:rPr>
          <w:rFonts w:ascii="Times New Roman" w:eastAsia="Times New Roman" w:hAnsi="Times New Roman" w:cs="Times New Roman"/>
        </w:rPr>
        <w:t xml:space="preserve">Susan </w:t>
      </w:r>
      <w:r w:rsidRPr="005E14C3">
        <w:rPr>
          <w:rFonts w:ascii="Times New Roman" w:hAnsi="Times New Roman" w:cs="Times New Roman"/>
        </w:rPr>
        <w:t xml:space="preserve">Scrivener and Michael Weiss, “More Graduates,” (MDRC, </w:t>
      </w:r>
      <w:hyperlink r:id="rId41" w:history="1">
        <w:r w:rsidRPr="005E14C3">
          <w:rPr>
            <w:rStyle w:val="Hyperlink"/>
            <w:rFonts w:ascii="Times New Roman" w:hAnsi="Times New Roman" w:cs="Times New Roman"/>
          </w:rPr>
          <w:t>2013</w:t>
        </w:r>
      </w:hyperlink>
      <w:r w:rsidRPr="005E14C3">
        <w:rPr>
          <w:rFonts w:ascii="Times New Roman" w:hAnsi="Times New Roman" w:cs="Times New Roman"/>
        </w:rPr>
        <w:t>).</w:t>
      </w:r>
      <w:proofErr w:type="gramEnd"/>
    </w:p>
  </w:footnote>
  <w:footnote w:id="49">
    <w:p w:rsidR="00881227" w:rsidRPr="005E14C3" w:rsidRDefault="00881227" w:rsidP="003A18FF">
      <w:pPr>
        <w:pStyle w:val="FootnoteText"/>
        <w:rPr>
          <w:rFonts w:ascii="Times New Roman" w:hAnsi="Times New Roman" w:cs="Times New Roman"/>
          <w:color w:val="000000" w:themeColor="text1"/>
        </w:rPr>
      </w:pPr>
      <w:r w:rsidRPr="005E14C3">
        <w:rPr>
          <w:rStyle w:val="FootnoteReference"/>
          <w:rFonts w:ascii="Times New Roman" w:hAnsi="Times New Roman" w:cs="Times New Roman"/>
          <w:color w:val="000000" w:themeColor="text1"/>
          <w:sz w:val="22"/>
          <w:szCs w:val="22"/>
        </w:rPr>
        <w:footnoteRef/>
      </w:r>
      <w:r w:rsidRPr="005E14C3">
        <w:rPr>
          <w:rFonts w:ascii="Times New Roman" w:hAnsi="Times New Roman" w:cs="Times New Roman"/>
          <w:color w:val="000000" w:themeColor="text1"/>
          <w:sz w:val="22"/>
          <w:szCs w:val="22"/>
        </w:rPr>
        <w:t xml:space="preserve"> </w:t>
      </w:r>
      <w:r w:rsidRPr="005E14C3">
        <w:rPr>
          <w:rFonts w:ascii="Times New Roman" w:hAnsi="Times New Roman" w:cs="Times New Roman"/>
          <w:color w:val="000000" w:themeColor="text1"/>
        </w:rPr>
        <w:t xml:space="preserve">Bradley M. Allan and Roland G. Fryer, “The Power and Pitfalls of Education Incentives” (Discussion Paper from The Hamilton Project, </w:t>
      </w:r>
      <w:hyperlink r:id="rId42" w:history="1">
        <w:r w:rsidRPr="005E14C3">
          <w:rPr>
            <w:rStyle w:val="Hyperlink"/>
            <w:rFonts w:ascii="Times New Roman" w:hAnsi="Times New Roman" w:cs="Times New Roman"/>
          </w:rPr>
          <w:t>2011</w:t>
        </w:r>
      </w:hyperlink>
      <w:r w:rsidRPr="005E14C3">
        <w:rPr>
          <w:rFonts w:ascii="Times New Roman" w:hAnsi="Times New Roman" w:cs="Times New Roman"/>
          <w:color w:val="000000" w:themeColor="text1"/>
        </w:rPr>
        <w:t>)</w:t>
      </w:r>
    </w:p>
  </w:footnote>
  <w:footnote w:id="50">
    <w:p w:rsidR="00881227" w:rsidRPr="005E14C3" w:rsidRDefault="0088122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5E14C3">
        <w:rPr>
          <w:rFonts w:ascii="Times New Roman" w:hAnsi="Times New Roman" w:cs="Times New Roman"/>
          <w:color w:val="000000" w:themeColor="text1"/>
        </w:rPr>
        <w:t xml:space="preserve">Our proposed credit does not fall neatly into either category of an input payment or performance payment. </w:t>
      </w:r>
      <w:r w:rsidRPr="005E14C3">
        <w:rPr>
          <w:rFonts w:ascii="Times New Roman" w:eastAsia="Times New Roman" w:hAnsi="Times New Roman" w:cs="Times New Roman"/>
          <w:color w:val="000000" w:themeColor="text1"/>
        </w:rPr>
        <w:t xml:space="preserve"> To my knowledge, payments to encourage high school graduation have not been applied.  </w:t>
      </w:r>
    </w:p>
  </w:footnote>
  <w:footnote w:id="51">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Susan M. </w:t>
      </w:r>
      <w:proofErr w:type="spellStart"/>
      <w:r w:rsidRPr="005E14C3">
        <w:rPr>
          <w:rFonts w:ascii="Times New Roman" w:hAnsi="Times New Roman" w:cs="Times New Roman"/>
        </w:rPr>
        <w:t>Dynarski</w:t>
      </w:r>
      <w:proofErr w:type="spellEnd"/>
      <w:r w:rsidRPr="005E14C3">
        <w:rPr>
          <w:rFonts w:ascii="Times New Roman" w:hAnsi="Times New Roman" w:cs="Times New Roman"/>
        </w:rPr>
        <w:t xml:space="preserve"> and Judith E. Scott-Clayton, “The Cost of Complexity in federal Student Aid: Lessons from Optimal Tax Theory and Behavioral Economics” (NBER working paper, </w:t>
      </w:r>
      <w:hyperlink r:id="rId43" w:history="1">
        <w:r w:rsidRPr="005E14C3">
          <w:rPr>
            <w:rStyle w:val="Hyperlink"/>
            <w:rFonts w:ascii="Times New Roman" w:hAnsi="Times New Roman" w:cs="Times New Roman"/>
          </w:rPr>
          <w:t>2006</w:t>
        </w:r>
      </w:hyperlink>
      <w:r w:rsidRPr="005E14C3">
        <w:rPr>
          <w:rFonts w:ascii="Times New Roman" w:hAnsi="Times New Roman" w:cs="Times New Roman"/>
        </w:rPr>
        <w:t>)</w:t>
      </w:r>
    </w:p>
  </w:footnote>
  <w:footnote w:id="52">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Journal of Blacks in Higher Education, “</w:t>
      </w:r>
      <w:hyperlink r:id="rId44" w:history="1">
        <w:r w:rsidRPr="005E14C3">
          <w:rPr>
            <w:rStyle w:val="Hyperlink"/>
            <w:rFonts w:ascii="Times New Roman" w:hAnsi="Times New Roman" w:cs="Times New Roman"/>
          </w:rPr>
          <w:t>Pell Grants: The Cornerstone of African-American Higher Education</w:t>
        </w:r>
      </w:hyperlink>
      <w:r w:rsidRPr="005E14C3">
        <w:rPr>
          <w:rFonts w:ascii="Times New Roman" w:hAnsi="Times New Roman" w:cs="Times New Roman"/>
        </w:rPr>
        <w:t>”</w:t>
      </w:r>
    </w:p>
  </w:footnote>
  <w:footnote w:id="53">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Congressional Budget Office, “The Federal Pell Grant Program: Recent Growth and Policy Options” (</w:t>
      </w:r>
      <w:hyperlink r:id="rId45" w:history="1">
        <w:r w:rsidRPr="005E14C3">
          <w:rPr>
            <w:rStyle w:val="Hyperlink"/>
            <w:rFonts w:ascii="Times New Roman" w:hAnsi="Times New Roman" w:cs="Times New Roman"/>
          </w:rPr>
          <w:t>2013</w:t>
        </w:r>
      </w:hyperlink>
      <w:r w:rsidRPr="005E14C3">
        <w:rPr>
          <w:rFonts w:ascii="Times New Roman" w:hAnsi="Times New Roman" w:cs="Times New Roman"/>
        </w:rPr>
        <w:t xml:space="preserve">) </w:t>
      </w:r>
    </w:p>
  </w:footnote>
  <w:footnote w:id="54">
    <w:p w:rsidR="00881227" w:rsidRPr="005E14C3" w:rsidRDefault="00881227" w:rsidP="003A18FF">
      <w:pPr>
        <w:pStyle w:val="FootnoteText"/>
        <w:rPr>
          <w:rFonts w:ascii="Times New Roman" w:hAnsi="Times New Roman" w:cs="Times New Roman"/>
          <w:color w:val="000000" w:themeColor="text1"/>
        </w:rPr>
      </w:pPr>
      <w:r w:rsidRPr="005E14C3">
        <w:rPr>
          <w:rStyle w:val="FootnoteReference"/>
          <w:rFonts w:ascii="Times New Roman" w:hAnsi="Times New Roman" w:cs="Times New Roman"/>
          <w:color w:val="000000" w:themeColor="text1"/>
        </w:rPr>
        <w:footnoteRef/>
      </w:r>
      <w:r w:rsidRPr="005E14C3">
        <w:rPr>
          <w:rFonts w:ascii="Times New Roman" w:hAnsi="Times New Roman" w:cs="Times New Roman"/>
          <w:color w:val="000000" w:themeColor="text1"/>
        </w:rPr>
        <w:t xml:space="preserve"> The data here comes from the 1980s. See Martha Bailey and Susan </w:t>
      </w:r>
      <w:proofErr w:type="spellStart"/>
      <w:r w:rsidRPr="005E14C3">
        <w:rPr>
          <w:rFonts w:ascii="Times New Roman" w:hAnsi="Times New Roman" w:cs="Times New Roman"/>
          <w:color w:val="000000" w:themeColor="text1"/>
        </w:rPr>
        <w:t>Dynarski</w:t>
      </w:r>
      <w:proofErr w:type="spellEnd"/>
      <w:r w:rsidRPr="005E14C3">
        <w:rPr>
          <w:rFonts w:ascii="Times New Roman" w:hAnsi="Times New Roman" w:cs="Times New Roman"/>
          <w:color w:val="000000" w:themeColor="text1"/>
        </w:rPr>
        <w:t xml:space="preserve">, “Gains and Gaps: Changing Inequality in US College Entry and Completion” (NBER working paper </w:t>
      </w:r>
      <w:hyperlink r:id="rId46" w:history="1">
        <w:r w:rsidRPr="005E14C3">
          <w:rPr>
            <w:rStyle w:val="Hyperlink"/>
            <w:rFonts w:ascii="Times New Roman" w:hAnsi="Times New Roman" w:cs="Times New Roman"/>
          </w:rPr>
          <w:t>2011</w:t>
        </w:r>
      </w:hyperlink>
      <w:r w:rsidRPr="005E14C3">
        <w:rPr>
          <w:rFonts w:ascii="Times New Roman" w:hAnsi="Times New Roman" w:cs="Times New Roman"/>
          <w:color w:val="000000" w:themeColor="text1"/>
        </w:rPr>
        <w:t>)</w:t>
      </w:r>
    </w:p>
  </w:footnote>
  <w:footnote w:id="55">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Congressional Budget Office (2013) </w:t>
      </w:r>
    </w:p>
  </w:footnote>
  <w:footnote w:id="56">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393BC9" w:rsidRPr="005E14C3">
        <w:rPr>
          <w:rFonts w:ascii="Times New Roman" w:hAnsi="Times New Roman" w:cs="Times New Roman"/>
        </w:rPr>
        <w:t xml:space="preserve">From the </w:t>
      </w:r>
      <w:hyperlink r:id="rId47" w:history="1">
        <w:r w:rsidR="00393BC9" w:rsidRPr="005E14C3">
          <w:rPr>
            <w:rStyle w:val="Hyperlink"/>
            <w:rFonts w:ascii="Times New Roman" w:hAnsi="Times New Roman" w:cs="Times New Roman"/>
          </w:rPr>
          <w:t>Bureau of Labor Statistics</w:t>
        </w:r>
      </w:hyperlink>
      <w:r w:rsidRPr="005E14C3">
        <w:rPr>
          <w:rFonts w:ascii="Times New Roman" w:hAnsi="Times New Roman" w:cs="Times New Roman"/>
        </w:rPr>
        <w:t xml:space="preserve"> </w:t>
      </w:r>
    </w:p>
  </w:footnote>
  <w:footnote w:id="57">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00393BC9" w:rsidRPr="005E14C3">
        <w:rPr>
          <w:rFonts w:ascii="Times New Roman" w:hAnsi="Times New Roman" w:cs="Times New Roman"/>
        </w:rPr>
        <w:t>D’Vera</w:t>
      </w:r>
      <w:proofErr w:type="spellEnd"/>
      <w:r w:rsidR="00393BC9" w:rsidRPr="005E14C3">
        <w:rPr>
          <w:rFonts w:ascii="Times New Roman" w:hAnsi="Times New Roman" w:cs="Times New Roman"/>
        </w:rPr>
        <w:t xml:space="preserve"> Cohn, Jeffrey S. Passel, Wendy Wang, and Gretchen Livingston, “Barely Half of </w:t>
      </w:r>
      <w:proofErr w:type="spellStart"/>
      <w:r w:rsidR="00393BC9" w:rsidRPr="005E14C3">
        <w:rPr>
          <w:rFonts w:ascii="Times New Roman" w:hAnsi="Times New Roman" w:cs="Times New Roman"/>
        </w:rPr>
        <w:t>U.S.Adults</w:t>
      </w:r>
      <w:proofErr w:type="spellEnd"/>
      <w:r w:rsidR="00393BC9" w:rsidRPr="005E14C3">
        <w:rPr>
          <w:rFonts w:ascii="Times New Roman" w:hAnsi="Times New Roman" w:cs="Times New Roman"/>
        </w:rPr>
        <w:t xml:space="preserve"> Are Married – A Record Low” (Pew Research Center, Social and Demographic Trends, </w:t>
      </w:r>
      <w:hyperlink r:id="rId48" w:history="1">
        <w:r w:rsidR="00393BC9" w:rsidRPr="005E14C3">
          <w:rPr>
            <w:rStyle w:val="Hyperlink"/>
            <w:rFonts w:ascii="Times New Roman" w:hAnsi="Times New Roman" w:cs="Times New Roman"/>
          </w:rPr>
          <w:t>2011</w:t>
        </w:r>
      </w:hyperlink>
      <w:hyperlink r:id="rId49" w:history="1"/>
      <w:r w:rsidR="00393BC9" w:rsidRPr="005E14C3">
        <w:rPr>
          <w:rFonts w:ascii="Times New Roman" w:hAnsi="Times New Roman" w:cs="Times New Roman"/>
        </w:rPr>
        <w:t>)</w:t>
      </w:r>
    </w:p>
  </w:footnote>
  <w:footnote w:id="58">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393BC9" w:rsidRPr="005E14C3">
        <w:rPr>
          <w:rFonts w:ascii="Times New Roman" w:hAnsi="Times New Roman" w:cs="Times New Roman"/>
        </w:rPr>
        <w:t xml:space="preserve">From the </w:t>
      </w:r>
      <w:hyperlink r:id="rId50" w:history="1">
        <w:r w:rsidR="00393BC9" w:rsidRPr="005E14C3">
          <w:rPr>
            <w:rStyle w:val="Hyperlink"/>
            <w:rFonts w:ascii="Times New Roman" w:hAnsi="Times New Roman" w:cs="Times New Roman"/>
          </w:rPr>
          <w:t>U.S. Census Bureau</w:t>
        </w:r>
      </w:hyperlink>
    </w:p>
  </w:footnote>
  <w:footnote w:id="59">
    <w:p w:rsidR="00881227" w:rsidRPr="005E14C3" w:rsidRDefault="0088122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143744" w:rsidRPr="005E14C3">
        <w:rPr>
          <w:rFonts w:ascii="Times New Roman" w:hAnsi="Times New Roman" w:cs="Times New Roman"/>
        </w:rPr>
        <w:t>Pew Charitable Trusts, “Pursuing the American Dream: Economic Mobility Across Generations” (</w:t>
      </w:r>
      <w:hyperlink r:id="rId51" w:history="1">
        <w:r w:rsidR="00143744" w:rsidRPr="005E14C3">
          <w:rPr>
            <w:rStyle w:val="Hyperlink"/>
            <w:rFonts w:ascii="Times New Roman" w:hAnsi="Times New Roman" w:cs="Times New Roman"/>
          </w:rPr>
          <w:t>2012</w:t>
        </w:r>
      </w:hyperlink>
      <w:r w:rsidR="00143744" w:rsidRPr="005E14C3">
        <w:rPr>
          <w:rFonts w:ascii="Times New Roman" w:hAnsi="Times New Roman" w:cs="Times New Roman"/>
        </w:rPr>
        <w:t>)</w:t>
      </w:r>
    </w:p>
  </w:footnote>
  <w:footnote w:id="60">
    <w:p w:rsidR="00881227" w:rsidRPr="005E14C3" w:rsidRDefault="00881227" w:rsidP="003A18F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Pr="005E14C3">
        <w:rPr>
          <w:rFonts w:ascii="Times New Roman" w:hAnsi="Times New Roman" w:cs="Times New Roman"/>
          <w:color w:val="000000" w:themeColor="text1"/>
        </w:rPr>
        <w:t>Hoynes</w:t>
      </w:r>
      <w:proofErr w:type="spellEnd"/>
      <w:r w:rsidRPr="005E14C3">
        <w:rPr>
          <w:rFonts w:ascii="Times New Roman" w:hAnsi="Times New Roman" w:cs="Times New Roman"/>
          <w:color w:val="000000" w:themeColor="text1"/>
        </w:rPr>
        <w:t xml:space="preserve">, Page, and </w:t>
      </w:r>
      <w:r w:rsidR="00DB6280" w:rsidRPr="005E14C3">
        <w:rPr>
          <w:rFonts w:ascii="Times New Roman" w:hAnsi="Times New Roman" w:cs="Times New Roman"/>
          <w:color w:val="000000" w:themeColor="text1"/>
        </w:rPr>
        <w:t>Stevens (</w:t>
      </w:r>
      <w:r w:rsidRPr="005E14C3">
        <w:rPr>
          <w:rFonts w:ascii="Times New Roman" w:hAnsi="Times New Roman" w:cs="Times New Roman"/>
          <w:color w:val="000000" w:themeColor="text1"/>
        </w:rPr>
        <w:t>2005</w:t>
      </w:r>
      <w:r w:rsidR="00DB6280" w:rsidRPr="005E14C3">
        <w:rPr>
          <w:rFonts w:ascii="Times New Roman" w:hAnsi="Times New Roman" w:cs="Times New Roman"/>
          <w:color w:val="000000" w:themeColor="text1"/>
        </w:rPr>
        <w:t>)</w:t>
      </w:r>
    </w:p>
  </w:footnote>
  <w:footnote w:id="61">
    <w:p w:rsidR="00881227" w:rsidRPr="005E14C3" w:rsidRDefault="00881227" w:rsidP="003A18FF">
      <w:pPr>
        <w:autoSpaceDE w:val="0"/>
        <w:autoSpaceDN w:val="0"/>
        <w:adjustRightInd w:val="0"/>
        <w:spacing w:after="0" w:line="240" w:lineRule="auto"/>
        <w:jc w:val="both"/>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5E14C3">
        <w:rPr>
          <w:rFonts w:ascii="Times New Roman" w:hAnsi="Times New Roman" w:cs="Times New Roman"/>
          <w:sz w:val="20"/>
          <w:szCs w:val="20"/>
        </w:rPr>
        <w:t>In other research, Lee (2005) also find</w:t>
      </w:r>
      <w:r w:rsidR="00D744E9" w:rsidRPr="005E14C3">
        <w:rPr>
          <w:rFonts w:ascii="Times New Roman" w:hAnsi="Times New Roman" w:cs="Times New Roman"/>
          <w:sz w:val="20"/>
          <w:szCs w:val="20"/>
        </w:rPr>
        <w:t>s</w:t>
      </w:r>
      <w:r w:rsidRPr="005E14C3">
        <w:rPr>
          <w:rFonts w:ascii="Times New Roman" w:hAnsi="Times New Roman" w:cs="Times New Roman"/>
          <w:sz w:val="20"/>
          <w:szCs w:val="20"/>
        </w:rPr>
        <w:t xml:space="preserve"> that the increase in family instability is an important factor in explaining rising family inequality.</w:t>
      </w:r>
      <w:r w:rsidR="00D744E9" w:rsidRPr="005E14C3">
        <w:rPr>
          <w:rFonts w:ascii="Times New Roman" w:hAnsi="Times New Roman" w:cs="Times New Roman"/>
          <w:sz w:val="20"/>
          <w:szCs w:val="20"/>
        </w:rPr>
        <w:t xml:space="preserve"> </w:t>
      </w:r>
      <w:proofErr w:type="spellStart"/>
      <w:r w:rsidRPr="005E14C3">
        <w:rPr>
          <w:rFonts w:ascii="Times New Roman" w:hAnsi="Times New Roman" w:cs="Times New Roman"/>
          <w:sz w:val="20"/>
          <w:szCs w:val="20"/>
        </w:rPr>
        <w:t>McLanahan</w:t>
      </w:r>
      <w:proofErr w:type="spellEnd"/>
      <w:r w:rsidRPr="005E14C3">
        <w:rPr>
          <w:rFonts w:ascii="Times New Roman" w:hAnsi="Times New Roman" w:cs="Times New Roman"/>
          <w:sz w:val="20"/>
          <w:szCs w:val="20"/>
        </w:rPr>
        <w:t xml:space="preserve"> and </w:t>
      </w:r>
      <w:proofErr w:type="spellStart"/>
      <w:r w:rsidRPr="005E14C3">
        <w:rPr>
          <w:rFonts w:ascii="Times New Roman" w:hAnsi="Times New Roman" w:cs="Times New Roman"/>
          <w:sz w:val="20"/>
          <w:szCs w:val="20"/>
        </w:rPr>
        <w:t>Sandefur</w:t>
      </w:r>
      <w:proofErr w:type="spellEnd"/>
      <w:r w:rsidRPr="005E14C3">
        <w:rPr>
          <w:rFonts w:ascii="Times New Roman" w:hAnsi="Times New Roman" w:cs="Times New Roman"/>
          <w:sz w:val="20"/>
          <w:szCs w:val="20"/>
        </w:rPr>
        <w:t xml:space="preserve"> </w:t>
      </w:r>
      <w:r w:rsidR="00D744E9" w:rsidRPr="005E14C3">
        <w:rPr>
          <w:rFonts w:ascii="Times New Roman" w:hAnsi="Times New Roman" w:cs="Times New Roman"/>
          <w:sz w:val="20"/>
          <w:szCs w:val="20"/>
        </w:rPr>
        <w:t>(1994)</w:t>
      </w:r>
      <w:r w:rsidRPr="005E14C3">
        <w:rPr>
          <w:rFonts w:ascii="Times New Roman" w:hAnsi="Times New Roman" w:cs="Times New Roman"/>
          <w:sz w:val="20"/>
          <w:szCs w:val="20"/>
        </w:rPr>
        <w:t xml:space="preserve"> find that children who grow up in single-parent or stepparent families have lower educational attainment than those who grow up with both b</w:t>
      </w:r>
      <w:r w:rsidR="00D744E9" w:rsidRPr="005E14C3">
        <w:rPr>
          <w:rFonts w:ascii="Times New Roman" w:hAnsi="Times New Roman" w:cs="Times New Roman"/>
          <w:sz w:val="20"/>
          <w:szCs w:val="20"/>
        </w:rPr>
        <w:t>iological parents. Gruber (2000)</w:t>
      </w:r>
      <w:r w:rsidRPr="005E14C3">
        <w:rPr>
          <w:rFonts w:ascii="Times New Roman" w:hAnsi="Times New Roman" w:cs="Times New Roman"/>
          <w:sz w:val="20"/>
          <w:szCs w:val="20"/>
        </w:rPr>
        <w:t xml:space="preserve"> investigates the effects of changes in state divorce laws on outcomes for children. The timing of the "divorce revolution" -- the transition from fault based divorce, to divorce by mutual consent, to unilateral divorce -- varied from state to state. Using this state variation, Gruber estimates the effect of unilateral di</w:t>
      </w:r>
      <w:r w:rsidR="00D744E9" w:rsidRPr="005E14C3">
        <w:rPr>
          <w:rFonts w:ascii="Times New Roman" w:hAnsi="Times New Roman" w:cs="Times New Roman"/>
          <w:sz w:val="20"/>
          <w:szCs w:val="20"/>
        </w:rPr>
        <w:t xml:space="preserve">vorce on outcomes for children and finds </w:t>
      </w:r>
      <w:r w:rsidRPr="005E14C3">
        <w:rPr>
          <w:rFonts w:ascii="Times New Roman" w:hAnsi="Times New Roman" w:cs="Times New Roman"/>
          <w:sz w:val="20"/>
          <w:szCs w:val="20"/>
        </w:rPr>
        <w:t xml:space="preserve">a negative and significant effect </w:t>
      </w:r>
      <w:r w:rsidR="00D744E9" w:rsidRPr="005E14C3">
        <w:rPr>
          <w:rFonts w:ascii="Times New Roman" w:hAnsi="Times New Roman" w:cs="Times New Roman"/>
          <w:sz w:val="20"/>
          <w:szCs w:val="20"/>
        </w:rPr>
        <w:t xml:space="preserve">of unilateral divorce </w:t>
      </w:r>
      <w:r w:rsidRPr="005E14C3">
        <w:rPr>
          <w:rFonts w:ascii="Times New Roman" w:hAnsi="Times New Roman" w:cs="Times New Roman"/>
          <w:sz w:val="20"/>
          <w:szCs w:val="20"/>
        </w:rPr>
        <w:t>on children's educational attainment.</w:t>
      </w:r>
    </w:p>
  </w:footnote>
  <w:footnote w:id="62">
    <w:p w:rsidR="00881227" w:rsidRPr="005E14C3" w:rsidRDefault="00881227" w:rsidP="003A18FF">
      <w:pPr>
        <w:pStyle w:val="FootnoteText"/>
        <w:jc w:val="both"/>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Another new study authored by Harvard economist Raj </w:t>
      </w:r>
      <w:proofErr w:type="spellStart"/>
      <w:r w:rsidRPr="005E14C3">
        <w:rPr>
          <w:rFonts w:ascii="Times New Roman" w:hAnsi="Times New Roman" w:cs="Times New Roman"/>
        </w:rPr>
        <w:t>Chetty</w:t>
      </w:r>
      <w:proofErr w:type="spellEnd"/>
      <w:r w:rsidRPr="005E14C3">
        <w:rPr>
          <w:rFonts w:ascii="Times New Roman" w:hAnsi="Times New Roman" w:cs="Times New Roman"/>
        </w:rPr>
        <w:t xml:space="preserve"> finds that rates of single parenthood </w:t>
      </w:r>
      <w:r w:rsidRPr="005E14C3">
        <w:rPr>
          <w:rFonts w:ascii="Times New Roman" w:hAnsi="Times New Roman" w:cs="Times New Roman"/>
          <w:iCs/>
        </w:rPr>
        <w:t>at the community level</w:t>
      </w:r>
      <w:r w:rsidRPr="005E14C3">
        <w:rPr>
          <w:rFonts w:ascii="Times New Roman" w:hAnsi="Times New Roman" w:cs="Times New Roman"/>
        </w:rPr>
        <w:t xml:space="preserve"> are linked to children's economic opportunities over the course of their lives.</w:t>
      </w:r>
    </w:p>
  </w:footnote>
  <w:footnote w:id="63">
    <w:p w:rsidR="00881227" w:rsidRPr="005E14C3" w:rsidRDefault="0088122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045025" w:rsidRPr="005E14C3">
        <w:rPr>
          <w:rFonts w:ascii="Times New Roman" w:hAnsi="Times New Roman" w:cs="Times New Roman"/>
        </w:rPr>
        <w:t xml:space="preserve">From the </w:t>
      </w:r>
      <w:hyperlink r:id="rId52" w:history="1">
        <w:r w:rsidR="00045025" w:rsidRPr="005E14C3">
          <w:rPr>
            <w:rStyle w:val="Hyperlink"/>
            <w:rFonts w:ascii="Times New Roman" w:hAnsi="Times New Roman" w:cs="Times New Roman"/>
          </w:rPr>
          <w:t>Office of Adolescent Health</w:t>
        </w:r>
      </w:hyperlink>
    </w:p>
  </w:footnote>
  <w:footnote w:id="64">
    <w:p w:rsidR="00881227" w:rsidRPr="005E14C3" w:rsidRDefault="00881227" w:rsidP="003A18FF">
      <w:pPr>
        <w:pStyle w:val="FootnoteText"/>
        <w:jc w:val="both"/>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045025" w:rsidRPr="005E14C3">
        <w:rPr>
          <w:rFonts w:ascii="Times New Roman" w:hAnsi="Times New Roman" w:cs="Times New Roman"/>
        </w:rPr>
        <w:t xml:space="preserve">Isabel </w:t>
      </w:r>
      <w:proofErr w:type="spellStart"/>
      <w:r w:rsidR="00045025" w:rsidRPr="005E14C3">
        <w:rPr>
          <w:rFonts w:ascii="Times New Roman" w:hAnsi="Times New Roman" w:cs="Times New Roman"/>
        </w:rPr>
        <w:t>Sawhill</w:t>
      </w:r>
      <w:proofErr w:type="spellEnd"/>
      <w:r w:rsidRPr="005E14C3">
        <w:rPr>
          <w:rFonts w:ascii="Times New Roman" w:hAnsi="Times New Roman" w:cs="Times New Roman"/>
        </w:rPr>
        <w:t xml:space="preserve"> and Joanna </w:t>
      </w:r>
      <w:proofErr w:type="spellStart"/>
      <w:r w:rsidRPr="005E14C3">
        <w:rPr>
          <w:rFonts w:ascii="Times New Roman" w:hAnsi="Times New Roman" w:cs="Times New Roman"/>
        </w:rPr>
        <w:t>Venator</w:t>
      </w:r>
      <w:proofErr w:type="spellEnd"/>
      <w:r w:rsidRPr="005E14C3">
        <w:rPr>
          <w:rFonts w:ascii="Times New Roman" w:hAnsi="Times New Roman" w:cs="Times New Roman"/>
        </w:rPr>
        <w:t>, “Three Policies to Close the Class Divide in Family Formation”</w:t>
      </w:r>
      <w:r w:rsidR="00045025" w:rsidRPr="005E14C3">
        <w:rPr>
          <w:rFonts w:ascii="Times New Roman" w:hAnsi="Times New Roman" w:cs="Times New Roman"/>
        </w:rPr>
        <w:t xml:space="preserve"> (Social Mobility Memos, The Brookings Institution, </w:t>
      </w:r>
      <w:hyperlink r:id="rId53" w:history="1">
        <w:r w:rsidR="00045025" w:rsidRPr="005E14C3">
          <w:rPr>
            <w:rStyle w:val="Hyperlink"/>
            <w:rFonts w:ascii="Times New Roman" w:hAnsi="Times New Roman" w:cs="Times New Roman"/>
          </w:rPr>
          <w:t>2014</w:t>
        </w:r>
      </w:hyperlink>
      <w:r w:rsidR="00045025" w:rsidRPr="005E14C3">
        <w:rPr>
          <w:rFonts w:ascii="Times New Roman" w:hAnsi="Times New Roman" w:cs="Times New Roman"/>
        </w:rPr>
        <w:t>)</w:t>
      </w:r>
    </w:p>
  </w:footnote>
  <w:footnote w:id="65">
    <w:p w:rsidR="00881227" w:rsidRPr="005E14C3" w:rsidRDefault="00881227" w:rsidP="003A18FF">
      <w:pPr>
        <w:pStyle w:val="FootnoteText"/>
        <w:jc w:val="both"/>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A significant downside would be if it induced abortions, although the study’s authors assert that teen</w:t>
      </w:r>
      <w:r w:rsidRPr="005E14C3">
        <w:rPr>
          <w:rFonts w:ascii="Times New Roman" w:eastAsia="Times New Roman" w:hAnsi="Times New Roman" w:cs="Times New Roman"/>
        </w:rPr>
        <w:t xml:space="preserve"> abortion rates also fell during this period.   See </w:t>
      </w:r>
      <w:r w:rsidR="00045025" w:rsidRPr="005E14C3">
        <w:rPr>
          <w:rFonts w:ascii="Times New Roman" w:hAnsi="Times New Roman" w:cs="Times New Roman"/>
        </w:rPr>
        <w:t>Melissa Kearney</w:t>
      </w:r>
      <w:r w:rsidRPr="005E14C3">
        <w:rPr>
          <w:rFonts w:ascii="Times New Roman" w:hAnsi="Times New Roman" w:cs="Times New Roman"/>
        </w:rPr>
        <w:t xml:space="preserve"> and Phillip Levine, “Medi</w:t>
      </w:r>
      <w:r w:rsidR="00045025" w:rsidRPr="005E14C3">
        <w:rPr>
          <w:rFonts w:ascii="Times New Roman" w:hAnsi="Times New Roman" w:cs="Times New Roman"/>
        </w:rPr>
        <w:t>a Influences on Social Outcomes</w:t>
      </w:r>
      <w:r w:rsidRPr="005E14C3">
        <w:rPr>
          <w:rFonts w:ascii="Times New Roman" w:hAnsi="Times New Roman" w:cs="Times New Roman"/>
        </w:rPr>
        <w:t xml:space="preserve">” </w:t>
      </w:r>
      <w:r w:rsidR="00045025" w:rsidRPr="005E14C3">
        <w:rPr>
          <w:rFonts w:ascii="Times New Roman" w:hAnsi="Times New Roman" w:cs="Times New Roman"/>
        </w:rPr>
        <w:t xml:space="preserve">(NBER working paper, </w:t>
      </w:r>
      <w:hyperlink r:id="rId54" w:history="1">
        <w:r w:rsidR="00045025" w:rsidRPr="005E14C3">
          <w:rPr>
            <w:rStyle w:val="Hyperlink"/>
            <w:rFonts w:ascii="Times New Roman" w:hAnsi="Times New Roman" w:cs="Times New Roman"/>
          </w:rPr>
          <w:t>2014</w:t>
        </w:r>
      </w:hyperlink>
      <w:r w:rsidR="00045025" w:rsidRPr="005E14C3">
        <w:rPr>
          <w:rFonts w:ascii="Times New Roman" w:hAnsi="Times New Roman" w:cs="Times New Roman"/>
        </w:rPr>
        <w:t>)</w:t>
      </w:r>
    </w:p>
  </w:footnote>
  <w:footnote w:id="66">
    <w:p w:rsidR="00045025" w:rsidRPr="005E14C3" w:rsidRDefault="00045025">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Casey </w:t>
      </w:r>
      <w:r w:rsidR="004442D6" w:rsidRPr="005E14C3">
        <w:rPr>
          <w:rFonts w:ascii="Times New Roman" w:hAnsi="Times New Roman" w:cs="Times New Roman"/>
        </w:rPr>
        <w:t xml:space="preserve">B. </w:t>
      </w:r>
      <w:r w:rsidRPr="005E14C3">
        <w:rPr>
          <w:rFonts w:ascii="Times New Roman" w:hAnsi="Times New Roman" w:cs="Times New Roman"/>
        </w:rPr>
        <w:t xml:space="preserve">Mulligan, “Average Marginal Labor Income Tax Rates under the Affordable Care Act” (NBER working paper, </w:t>
      </w:r>
      <w:hyperlink r:id="rId55" w:history="1">
        <w:r w:rsidRPr="005E14C3">
          <w:rPr>
            <w:rStyle w:val="Hyperlink"/>
            <w:rFonts w:ascii="Times New Roman" w:hAnsi="Times New Roman" w:cs="Times New Roman"/>
          </w:rPr>
          <w:t>2013</w:t>
        </w:r>
      </w:hyperlink>
      <w:r w:rsidRPr="005E14C3">
        <w:rPr>
          <w:rFonts w:ascii="Times New Roman" w:hAnsi="Times New Roman" w:cs="Times New Roman"/>
        </w:rPr>
        <w:t>)</w:t>
      </w:r>
    </w:p>
  </w:footnote>
  <w:footnote w:id="67">
    <w:p w:rsidR="00525EBC" w:rsidRPr="005E14C3" w:rsidRDefault="00525EBC">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Congressional Budget Office, “Labor Market Effects of the Affordable Care Act: Updated Estimates”</w:t>
      </w:r>
      <w:r w:rsidRPr="005E14C3">
        <w:rPr>
          <w:rFonts w:ascii="Times New Roman" w:hAnsi="Times New Roman" w:cs="Times New Roman"/>
          <w:i/>
        </w:rPr>
        <w:t xml:space="preserve"> </w:t>
      </w:r>
      <w:r w:rsidRPr="005E14C3">
        <w:rPr>
          <w:rFonts w:ascii="Times New Roman" w:hAnsi="Times New Roman" w:cs="Times New Roman"/>
        </w:rPr>
        <w:t>(</w:t>
      </w:r>
      <w:hyperlink r:id="rId56" w:history="1">
        <w:r w:rsidRPr="005E14C3">
          <w:rPr>
            <w:rStyle w:val="Hyperlink"/>
            <w:rFonts w:ascii="Times New Roman" w:hAnsi="Times New Roman" w:cs="Times New Roman"/>
          </w:rPr>
          <w:t>2014</w:t>
        </w:r>
      </w:hyperlink>
      <w:r w:rsidRPr="005E14C3">
        <w:rPr>
          <w:rFonts w:ascii="Times New Roman" w:hAnsi="Times New Roman" w:cs="Times New Roman"/>
        </w:rPr>
        <w:t>)</w:t>
      </w:r>
    </w:p>
  </w:footnote>
  <w:footnote w:id="68">
    <w:p w:rsidR="00C05CE2" w:rsidRPr="005E14C3" w:rsidRDefault="00C05CE2">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Jason J. </w:t>
      </w:r>
      <w:proofErr w:type="spellStart"/>
      <w:r w:rsidRPr="005E14C3">
        <w:rPr>
          <w:rFonts w:ascii="Times New Roman" w:hAnsi="Times New Roman" w:cs="Times New Roman"/>
        </w:rPr>
        <w:t>Fichtner</w:t>
      </w:r>
      <w:proofErr w:type="spellEnd"/>
      <w:r w:rsidRPr="005E14C3">
        <w:rPr>
          <w:rFonts w:ascii="Times New Roman" w:hAnsi="Times New Roman" w:cs="Times New Roman"/>
        </w:rPr>
        <w:t xml:space="preserve"> and Jacob Feldman, “Taxing Marriage: Microeconomic Behavioral Responses to the Marriage Penalty and Reforms for the 21st Century” (</w:t>
      </w:r>
      <w:proofErr w:type="spellStart"/>
      <w:r w:rsidRPr="005E14C3">
        <w:rPr>
          <w:rFonts w:ascii="Times New Roman" w:hAnsi="Times New Roman" w:cs="Times New Roman"/>
        </w:rPr>
        <w:t>Mercatus</w:t>
      </w:r>
      <w:proofErr w:type="spellEnd"/>
      <w:r w:rsidRPr="005E14C3">
        <w:rPr>
          <w:rFonts w:ascii="Times New Roman" w:hAnsi="Times New Roman" w:cs="Times New Roman"/>
        </w:rPr>
        <w:t xml:space="preserve"> Center working paper, </w:t>
      </w:r>
      <w:hyperlink r:id="rId57" w:history="1">
        <w:r w:rsidRPr="005E14C3">
          <w:rPr>
            <w:rStyle w:val="Hyperlink"/>
            <w:rFonts w:ascii="Times New Roman" w:hAnsi="Times New Roman" w:cs="Times New Roman"/>
          </w:rPr>
          <w:t>2012</w:t>
        </w:r>
      </w:hyperlink>
      <w:r w:rsidRPr="005E14C3">
        <w:rPr>
          <w:rFonts w:ascii="Times New Roman" w:hAnsi="Times New Roman" w:cs="Times New Roman"/>
        </w:rPr>
        <w:t>)</w:t>
      </w:r>
    </w:p>
  </w:footnote>
  <w:footnote w:id="69">
    <w:p w:rsidR="00330E7E" w:rsidRPr="005E14C3" w:rsidRDefault="00330E7E">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Stacy </w:t>
      </w:r>
      <w:proofErr w:type="spellStart"/>
      <w:r w:rsidRPr="005E14C3">
        <w:rPr>
          <w:rFonts w:ascii="Times New Roman" w:hAnsi="Times New Roman" w:cs="Times New Roman"/>
        </w:rPr>
        <w:t>Dickert-Conlin</w:t>
      </w:r>
      <w:proofErr w:type="spellEnd"/>
      <w:r w:rsidRPr="005E14C3">
        <w:rPr>
          <w:rFonts w:ascii="Times New Roman" w:hAnsi="Times New Roman" w:cs="Times New Roman"/>
        </w:rPr>
        <w:t xml:space="preserve">, “Taxes and Transfers: Their Effects on the Decision to End a Marriage” </w:t>
      </w:r>
      <w:r w:rsidRPr="005E14C3">
        <w:rPr>
          <w:rFonts w:ascii="Times New Roman" w:hAnsi="Times New Roman" w:cs="Times New Roman"/>
          <w:i/>
        </w:rPr>
        <w:t xml:space="preserve">Journal of Public Economics </w:t>
      </w:r>
      <w:r w:rsidRPr="005E14C3">
        <w:rPr>
          <w:rFonts w:ascii="Times New Roman" w:hAnsi="Times New Roman" w:cs="Times New Roman"/>
        </w:rPr>
        <w:t xml:space="preserve"> (</w:t>
      </w:r>
      <w:hyperlink r:id="rId58" w:history="1">
        <w:r w:rsidRPr="005E14C3">
          <w:rPr>
            <w:rStyle w:val="Hyperlink"/>
            <w:rFonts w:ascii="Times New Roman" w:hAnsi="Times New Roman" w:cs="Times New Roman"/>
          </w:rPr>
          <w:t>1999</w:t>
        </w:r>
      </w:hyperlink>
      <w:r w:rsidRPr="005E14C3">
        <w:rPr>
          <w:rFonts w:ascii="Times New Roman" w:hAnsi="Times New Roman" w:cs="Times New Roman"/>
        </w:rPr>
        <w:t>)</w:t>
      </w:r>
    </w:p>
  </w:footnote>
  <w:footnote w:id="70">
    <w:p w:rsidR="00330E7E" w:rsidRPr="005E14C3" w:rsidRDefault="00330E7E" w:rsidP="000C674A">
      <w:pPr>
        <w:pStyle w:val="End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Melissa S. Kearney and Lesley J. Turner, “Giving Secondary Earners a Tax Break: A Proposal to Help Low- and Middle-Income Families”</w:t>
      </w:r>
      <w:r w:rsidRPr="005E14C3">
        <w:rPr>
          <w:rFonts w:ascii="Times New Roman" w:hAnsi="Times New Roman" w:cs="Times New Roman"/>
          <w:i/>
        </w:rPr>
        <w:t xml:space="preserve"> </w:t>
      </w:r>
      <w:r w:rsidRPr="005E14C3">
        <w:rPr>
          <w:rFonts w:ascii="Times New Roman" w:hAnsi="Times New Roman" w:cs="Times New Roman"/>
        </w:rPr>
        <w:t>(</w:t>
      </w:r>
      <w:r w:rsidRPr="005E14C3">
        <w:rPr>
          <w:rFonts w:ascii="Times New Roman" w:hAnsi="Times New Roman" w:cs="Times New Roman"/>
          <w:color w:val="000000" w:themeColor="text1"/>
        </w:rPr>
        <w:t>Discussion Paper from The Hamilton Project</w:t>
      </w:r>
      <w:r w:rsidRPr="005E14C3">
        <w:rPr>
          <w:rFonts w:ascii="Times New Roman" w:hAnsi="Times New Roman" w:cs="Times New Roman"/>
        </w:rPr>
        <w:t xml:space="preserve">, </w:t>
      </w:r>
      <w:hyperlink r:id="rId59" w:history="1">
        <w:r w:rsidRPr="005E14C3">
          <w:rPr>
            <w:rStyle w:val="Hyperlink"/>
            <w:rFonts w:ascii="Times New Roman" w:hAnsi="Times New Roman" w:cs="Times New Roman"/>
          </w:rPr>
          <w:t>2013</w:t>
        </w:r>
      </w:hyperlink>
      <w:r w:rsidRPr="005E14C3">
        <w:rPr>
          <w:rFonts w:ascii="Times New Roman" w:hAnsi="Times New Roman" w:cs="Times New Roman"/>
        </w:rPr>
        <w:t>)</w:t>
      </w:r>
    </w:p>
  </w:footnote>
  <w:footnote w:id="71">
    <w:p w:rsidR="000C674A" w:rsidRPr="005E14C3" w:rsidRDefault="000C674A">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proofErr w:type="spellStart"/>
      <w:r w:rsidRPr="005E14C3">
        <w:rPr>
          <w:rFonts w:ascii="Times New Roman" w:eastAsia="Times New Roman" w:hAnsi="Times New Roman" w:cs="Times New Roman"/>
        </w:rPr>
        <w:t>Fichtner</w:t>
      </w:r>
      <w:proofErr w:type="spellEnd"/>
      <w:r w:rsidRPr="005E14C3">
        <w:rPr>
          <w:rFonts w:ascii="Times New Roman" w:eastAsia="Times New Roman" w:hAnsi="Times New Roman" w:cs="Times New Roman"/>
        </w:rPr>
        <w:t xml:space="preserve"> and Feldman (2012)</w:t>
      </w:r>
    </w:p>
  </w:footnote>
  <w:footnote w:id="72">
    <w:p w:rsidR="000C674A" w:rsidRPr="005E14C3" w:rsidRDefault="000C674A">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Sita Slavov, “Social Security’s War on Working Wives” (</w:t>
      </w:r>
      <w:r w:rsidRPr="005E14C3">
        <w:rPr>
          <w:rFonts w:ascii="Times New Roman" w:hAnsi="Times New Roman" w:cs="Times New Roman"/>
          <w:iCs/>
        </w:rPr>
        <w:t>Real Clear Markets</w:t>
      </w:r>
      <w:r w:rsidRPr="005E14C3">
        <w:rPr>
          <w:rFonts w:ascii="Times New Roman" w:hAnsi="Times New Roman" w:cs="Times New Roman"/>
          <w:i/>
        </w:rPr>
        <w:t>,</w:t>
      </w:r>
      <w:r w:rsidRPr="005E14C3">
        <w:rPr>
          <w:rFonts w:ascii="Times New Roman" w:hAnsi="Times New Roman" w:cs="Times New Roman"/>
        </w:rPr>
        <w:t xml:space="preserve"> </w:t>
      </w:r>
      <w:hyperlink r:id="rId60" w:history="1">
        <w:r w:rsidRPr="005E14C3">
          <w:rPr>
            <w:rStyle w:val="Hyperlink"/>
            <w:rFonts w:ascii="Times New Roman" w:hAnsi="Times New Roman" w:cs="Times New Roman"/>
          </w:rPr>
          <w:t>2012</w:t>
        </w:r>
      </w:hyperlink>
      <w:r w:rsidRPr="005E14C3">
        <w:rPr>
          <w:rFonts w:ascii="Times New Roman" w:hAnsi="Times New Roman" w:cs="Times New Roman"/>
        </w:rPr>
        <w:t>)</w:t>
      </w:r>
    </w:p>
  </w:footnote>
  <w:footnote w:id="73">
    <w:p w:rsidR="0017070A" w:rsidRPr="005E14C3" w:rsidRDefault="0017070A">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Lynda Laughlin, “Who’s Minding the Kids? Child Care Arrangements: Spring 2011”</w:t>
      </w:r>
      <w:r w:rsidRPr="005E14C3">
        <w:rPr>
          <w:rFonts w:ascii="Times New Roman" w:hAnsi="Times New Roman" w:cs="Times New Roman"/>
          <w:i/>
        </w:rPr>
        <w:t xml:space="preserve"> </w:t>
      </w:r>
      <w:r w:rsidRPr="005E14C3">
        <w:rPr>
          <w:rFonts w:ascii="Times New Roman" w:hAnsi="Times New Roman" w:cs="Times New Roman"/>
        </w:rPr>
        <w:t xml:space="preserve">(US Census Bureau, Current Population Reports, </w:t>
      </w:r>
      <w:hyperlink r:id="rId61" w:history="1">
        <w:r w:rsidRPr="005E14C3">
          <w:rPr>
            <w:rStyle w:val="Hyperlink"/>
            <w:rFonts w:ascii="Times New Roman" w:hAnsi="Times New Roman" w:cs="Times New Roman"/>
          </w:rPr>
          <w:t>2013</w:t>
        </w:r>
      </w:hyperlink>
      <w:r w:rsidRPr="005E14C3">
        <w:rPr>
          <w:rFonts w:ascii="Times New Roman" w:hAnsi="Times New Roman" w:cs="Times New Roman"/>
        </w:rPr>
        <w:t>)</w:t>
      </w:r>
    </w:p>
  </w:footnote>
  <w:footnote w:id="74">
    <w:p w:rsidR="0017070A" w:rsidRPr="005E14C3" w:rsidRDefault="0017070A" w:rsidP="0017070A">
      <w:pPr>
        <w:pStyle w:val="End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Ibid. </w:t>
      </w:r>
      <w:r w:rsidRPr="005E14C3">
        <w:rPr>
          <w:rFonts w:ascii="Times New Roman" w:hAnsi="Times New Roman" w:cs="Times New Roman"/>
          <w:color w:val="000000" w:themeColor="text1"/>
        </w:rPr>
        <w:t xml:space="preserve">Costs vary on the basis of children’s ages, the number of children, the quality of care, and across state lines. For example, </w:t>
      </w:r>
      <w:r w:rsidRPr="005E14C3">
        <w:rPr>
          <w:rFonts w:ascii="Times New Roman" w:hAnsi="Times New Roman" w:cs="Times New Roman"/>
        </w:rPr>
        <w:t>t</w:t>
      </w:r>
      <w:r w:rsidRPr="005E14C3">
        <w:rPr>
          <w:rFonts w:ascii="Times New Roman" w:eastAsia="Times New Roman" w:hAnsi="Times New Roman" w:cs="Times New Roman"/>
        </w:rPr>
        <w:t xml:space="preserve">he average annual cost of full-time care for an infant in center-based care ranges from $4,863 in Mississippi to $16,430 in Massachusetts. See </w:t>
      </w:r>
      <w:r w:rsidRPr="005E14C3">
        <w:rPr>
          <w:rFonts w:ascii="Times New Roman" w:hAnsi="Times New Roman" w:cs="Times New Roman"/>
        </w:rPr>
        <w:t>Child Care Aware America, “Parents and the High Cost of Child Care”</w:t>
      </w:r>
      <w:r w:rsidRPr="005E14C3">
        <w:rPr>
          <w:rFonts w:ascii="Times New Roman" w:hAnsi="Times New Roman" w:cs="Times New Roman"/>
          <w:i/>
        </w:rPr>
        <w:t xml:space="preserve"> </w:t>
      </w:r>
      <w:r w:rsidRPr="005E14C3">
        <w:rPr>
          <w:rFonts w:ascii="Times New Roman" w:hAnsi="Times New Roman" w:cs="Times New Roman"/>
        </w:rPr>
        <w:t>(</w:t>
      </w:r>
      <w:hyperlink r:id="rId62" w:history="1">
        <w:r w:rsidRPr="005E14C3">
          <w:rPr>
            <w:rStyle w:val="Hyperlink"/>
            <w:rFonts w:ascii="Times New Roman" w:hAnsi="Times New Roman" w:cs="Times New Roman"/>
          </w:rPr>
          <w:t>2013</w:t>
        </w:r>
      </w:hyperlink>
      <w:r w:rsidRPr="005E14C3">
        <w:rPr>
          <w:rFonts w:ascii="Times New Roman" w:hAnsi="Times New Roman" w:cs="Times New Roman"/>
        </w:rPr>
        <w:t xml:space="preserve">) </w:t>
      </w:r>
    </w:p>
  </w:footnote>
  <w:footnote w:id="75">
    <w:p w:rsidR="0017070A" w:rsidRPr="005E14C3" w:rsidRDefault="0017070A">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Laughlin (2013)</w:t>
      </w:r>
    </w:p>
  </w:footnote>
  <w:footnote w:id="76">
    <w:p w:rsidR="005B33EF" w:rsidRPr="005E14C3" w:rsidRDefault="005B33EF" w:rsidP="005B33EF">
      <w:pPr>
        <w:autoSpaceDE w:val="0"/>
        <w:autoSpaceDN w:val="0"/>
        <w:adjustRightInd w:val="0"/>
        <w:spacing w:after="0" w:line="240" w:lineRule="auto"/>
        <w:rPr>
          <w:rFonts w:ascii="Times New Roman" w:hAnsi="Times New Roman" w:cs="Times New Roman"/>
        </w:rPr>
      </w:pPr>
      <w:r w:rsidRPr="005E14C3">
        <w:rPr>
          <w:rStyle w:val="FootnoteReference"/>
          <w:rFonts w:ascii="Times New Roman" w:hAnsi="Times New Roman" w:cs="Times New Roman"/>
          <w:sz w:val="20"/>
          <w:szCs w:val="20"/>
        </w:rPr>
        <w:footnoteRef/>
      </w:r>
      <w:r w:rsidRPr="005E14C3">
        <w:rPr>
          <w:rFonts w:ascii="Times New Roman" w:hAnsi="Times New Roman" w:cs="Times New Roman"/>
          <w:sz w:val="20"/>
          <w:szCs w:val="20"/>
        </w:rPr>
        <w:t xml:space="preserve"> This literature includes Susan L. </w:t>
      </w:r>
      <w:proofErr w:type="spellStart"/>
      <w:r w:rsidRPr="005E14C3">
        <w:rPr>
          <w:rFonts w:ascii="Times New Roman" w:hAnsi="Times New Roman" w:cs="Times New Roman"/>
          <w:sz w:val="20"/>
          <w:szCs w:val="20"/>
        </w:rPr>
        <w:t>Averett</w:t>
      </w:r>
      <w:proofErr w:type="spellEnd"/>
      <w:r w:rsidRPr="005E14C3">
        <w:rPr>
          <w:rFonts w:ascii="Times New Roman" w:hAnsi="Times New Roman" w:cs="Times New Roman"/>
          <w:sz w:val="20"/>
          <w:szCs w:val="20"/>
        </w:rPr>
        <w:t xml:space="preserve">, Elizabeth H. Peters, and Donald M. Waldman, “Tax Credits, Labor Supply, and Child Care,” </w:t>
      </w:r>
      <w:r w:rsidRPr="005E14C3">
        <w:rPr>
          <w:rFonts w:ascii="Times New Roman" w:hAnsi="Times New Roman" w:cs="Times New Roman"/>
          <w:i/>
          <w:sz w:val="20"/>
          <w:szCs w:val="20"/>
        </w:rPr>
        <w:t>Review of Economics and Statistics</w:t>
      </w:r>
      <w:r w:rsidRPr="005E14C3">
        <w:rPr>
          <w:rFonts w:ascii="Times New Roman" w:hAnsi="Times New Roman" w:cs="Times New Roman"/>
          <w:sz w:val="20"/>
          <w:szCs w:val="20"/>
        </w:rPr>
        <w:t xml:space="preserve"> 79, no.1</w:t>
      </w:r>
      <w:r w:rsidRPr="005E14C3">
        <w:rPr>
          <w:rFonts w:ascii="Times New Roman" w:hAnsi="Times New Roman" w:cs="Times New Roman"/>
          <w:i/>
          <w:sz w:val="20"/>
          <w:szCs w:val="20"/>
        </w:rPr>
        <w:t xml:space="preserve"> </w:t>
      </w:r>
      <w:r w:rsidRPr="005E14C3">
        <w:rPr>
          <w:rFonts w:ascii="Times New Roman" w:hAnsi="Times New Roman" w:cs="Times New Roman"/>
          <w:iCs/>
          <w:sz w:val="20"/>
          <w:szCs w:val="20"/>
        </w:rPr>
        <w:t>(</w:t>
      </w:r>
      <w:r w:rsidRPr="005E14C3">
        <w:rPr>
          <w:rFonts w:ascii="Times New Roman" w:hAnsi="Times New Roman" w:cs="Times New Roman"/>
          <w:sz w:val="20"/>
          <w:szCs w:val="20"/>
        </w:rPr>
        <w:t xml:space="preserve">1997): 125–35; Mark C. Berger and Dan A. Black, “Child Care Subsidies, Quality of Care, and the Labor Supply of Low-Income, Single Mothers,” </w:t>
      </w:r>
      <w:r w:rsidRPr="005E14C3">
        <w:rPr>
          <w:rFonts w:ascii="Times New Roman" w:eastAsia="TimesNewRomanPS-ItalicMT" w:hAnsi="Times New Roman" w:cs="Times New Roman"/>
          <w:i/>
          <w:iCs/>
          <w:sz w:val="20"/>
          <w:szCs w:val="20"/>
        </w:rPr>
        <w:t>Review of Economics and Statistics</w:t>
      </w:r>
      <w:r w:rsidRPr="005E14C3">
        <w:rPr>
          <w:rFonts w:ascii="Times New Roman" w:hAnsi="Times New Roman" w:cs="Times New Roman"/>
          <w:sz w:val="20"/>
          <w:szCs w:val="20"/>
        </w:rPr>
        <w:t xml:space="preserve"> 74, no. 4 (November 1992): 635–42; April </w:t>
      </w:r>
      <w:proofErr w:type="spellStart"/>
      <w:r w:rsidRPr="005E14C3">
        <w:rPr>
          <w:rFonts w:ascii="Times New Roman" w:hAnsi="Times New Roman" w:cs="Times New Roman"/>
          <w:sz w:val="20"/>
          <w:szCs w:val="20"/>
        </w:rPr>
        <w:t>Brayfield</w:t>
      </w:r>
      <w:proofErr w:type="spellEnd"/>
      <w:r w:rsidRPr="005E14C3">
        <w:rPr>
          <w:rFonts w:ascii="Times New Roman" w:hAnsi="Times New Roman" w:cs="Times New Roman"/>
          <w:sz w:val="20"/>
          <w:szCs w:val="20"/>
        </w:rPr>
        <w:t xml:space="preserve">, </w:t>
      </w:r>
      <w:r w:rsidRPr="005E14C3">
        <w:rPr>
          <w:rFonts w:ascii="Times New Roman" w:hAnsi="Times New Roman" w:cs="Times New Roman"/>
          <w:i/>
          <w:sz w:val="20"/>
          <w:szCs w:val="20"/>
        </w:rPr>
        <w:t xml:space="preserve">Child Care Costs as Barrier to Women’s Employment </w:t>
      </w:r>
      <w:r w:rsidRPr="005E14C3">
        <w:rPr>
          <w:rFonts w:ascii="Times New Roman" w:hAnsi="Times New Roman" w:cs="Times New Roman"/>
          <w:sz w:val="20"/>
          <w:szCs w:val="20"/>
        </w:rPr>
        <w:t xml:space="preserve">(US Department of Labor, September 1992); Peter </w:t>
      </w:r>
      <w:proofErr w:type="spellStart"/>
      <w:r w:rsidRPr="005E14C3">
        <w:rPr>
          <w:rFonts w:ascii="Times New Roman" w:hAnsi="Times New Roman" w:cs="Times New Roman"/>
          <w:sz w:val="20"/>
          <w:szCs w:val="20"/>
        </w:rPr>
        <w:t>Cattan</w:t>
      </w:r>
      <w:proofErr w:type="spellEnd"/>
      <w:r w:rsidRPr="005E14C3">
        <w:rPr>
          <w:rFonts w:ascii="Times New Roman" w:hAnsi="Times New Roman" w:cs="Times New Roman"/>
          <w:sz w:val="20"/>
          <w:szCs w:val="20"/>
        </w:rPr>
        <w:t xml:space="preserve">, “Child-Care Problems: An Obstacle to Work,” </w:t>
      </w:r>
      <w:r w:rsidRPr="005E14C3">
        <w:rPr>
          <w:rFonts w:ascii="Times New Roman" w:hAnsi="Times New Roman" w:cs="Times New Roman"/>
          <w:i/>
          <w:iCs/>
          <w:sz w:val="20"/>
          <w:szCs w:val="20"/>
        </w:rPr>
        <w:t>Monthly Labor Review</w:t>
      </w:r>
      <w:r w:rsidRPr="005E14C3">
        <w:rPr>
          <w:rFonts w:ascii="Times New Roman" w:hAnsi="Times New Roman" w:cs="Times New Roman"/>
          <w:sz w:val="20"/>
          <w:szCs w:val="20"/>
        </w:rPr>
        <w:t xml:space="preserve"> (October 1991): 3–9; Rachel Connelly, ‘‘The Importance of Child Care Costs to Women’s Decision Making,’’ in </w:t>
      </w:r>
      <w:r w:rsidRPr="005E14C3">
        <w:rPr>
          <w:rFonts w:ascii="Times New Roman" w:hAnsi="Times New Roman" w:cs="Times New Roman"/>
          <w:i/>
          <w:iCs/>
          <w:sz w:val="20"/>
          <w:szCs w:val="20"/>
        </w:rPr>
        <w:t>The Economics of Child</w:t>
      </w:r>
      <w:r w:rsidRPr="005E14C3">
        <w:rPr>
          <w:rFonts w:ascii="Times New Roman" w:hAnsi="Times New Roman" w:cs="Times New Roman"/>
          <w:sz w:val="20"/>
          <w:szCs w:val="20"/>
        </w:rPr>
        <w:t xml:space="preserve"> </w:t>
      </w:r>
      <w:r w:rsidRPr="005E14C3">
        <w:rPr>
          <w:rFonts w:ascii="Times New Roman" w:hAnsi="Times New Roman" w:cs="Times New Roman"/>
          <w:i/>
          <w:iCs/>
          <w:sz w:val="20"/>
          <w:szCs w:val="20"/>
        </w:rPr>
        <w:t>Care</w:t>
      </w:r>
      <w:r w:rsidRPr="005E14C3">
        <w:rPr>
          <w:rFonts w:ascii="Times New Roman" w:hAnsi="Times New Roman" w:cs="Times New Roman"/>
          <w:iCs/>
          <w:sz w:val="20"/>
          <w:szCs w:val="20"/>
        </w:rPr>
        <w:t>, ed.</w:t>
      </w:r>
      <w:r w:rsidRPr="005E14C3">
        <w:rPr>
          <w:rFonts w:ascii="Times New Roman" w:hAnsi="Times New Roman" w:cs="Times New Roman"/>
          <w:i/>
          <w:iCs/>
          <w:sz w:val="20"/>
          <w:szCs w:val="20"/>
        </w:rPr>
        <w:t xml:space="preserve"> </w:t>
      </w:r>
      <w:r w:rsidRPr="005E14C3">
        <w:rPr>
          <w:rFonts w:ascii="Times New Roman" w:hAnsi="Times New Roman" w:cs="Times New Roman"/>
          <w:sz w:val="20"/>
          <w:szCs w:val="20"/>
        </w:rPr>
        <w:t xml:space="preserve">David M. </w:t>
      </w:r>
      <w:proofErr w:type="spellStart"/>
      <w:r w:rsidRPr="005E14C3">
        <w:rPr>
          <w:rFonts w:ascii="Times New Roman" w:hAnsi="Times New Roman" w:cs="Times New Roman"/>
          <w:sz w:val="20"/>
          <w:szCs w:val="20"/>
        </w:rPr>
        <w:t>Blau</w:t>
      </w:r>
      <w:proofErr w:type="spellEnd"/>
      <w:r w:rsidRPr="005E14C3">
        <w:rPr>
          <w:rFonts w:ascii="Times New Roman" w:hAnsi="Times New Roman" w:cs="Times New Roman"/>
          <w:sz w:val="20"/>
          <w:szCs w:val="20"/>
        </w:rPr>
        <w:t xml:space="preserve"> (New York: Russell Sage Foundation, 1991), 87–118; Anne Johansen, Arleen </w:t>
      </w:r>
      <w:proofErr w:type="spellStart"/>
      <w:r w:rsidRPr="005E14C3">
        <w:rPr>
          <w:rFonts w:ascii="Times New Roman" w:hAnsi="Times New Roman" w:cs="Times New Roman"/>
          <w:sz w:val="20"/>
          <w:szCs w:val="20"/>
        </w:rPr>
        <w:t>Liebowitz</w:t>
      </w:r>
      <w:proofErr w:type="spellEnd"/>
      <w:r w:rsidRPr="005E14C3">
        <w:rPr>
          <w:rFonts w:ascii="Times New Roman" w:hAnsi="Times New Roman" w:cs="Times New Roman"/>
          <w:sz w:val="20"/>
          <w:szCs w:val="20"/>
        </w:rPr>
        <w:t xml:space="preserve">, and Linda Waite, “The Importance of Child Care Characteristics to Choice of Care,” </w:t>
      </w:r>
      <w:r w:rsidRPr="005E14C3">
        <w:rPr>
          <w:rFonts w:ascii="Times New Roman" w:hAnsi="Times New Roman" w:cs="Times New Roman"/>
          <w:i/>
          <w:iCs/>
          <w:sz w:val="20"/>
          <w:szCs w:val="20"/>
        </w:rPr>
        <w:t xml:space="preserve">Journal of Marriage and the Family </w:t>
      </w:r>
      <w:r w:rsidRPr="005E14C3">
        <w:rPr>
          <w:rFonts w:ascii="Times New Roman" w:hAnsi="Times New Roman" w:cs="Times New Roman"/>
          <w:sz w:val="20"/>
          <w:szCs w:val="20"/>
        </w:rPr>
        <w:t xml:space="preserve">58, no. 3 (1996): 759–72; Jean Kimmel, “The Effectiveness of Child Care Subsidies in the Welfare to Work Transition of Low-Income Single Mothers,” </w:t>
      </w:r>
      <w:r w:rsidRPr="005E14C3">
        <w:rPr>
          <w:rFonts w:ascii="Times New Roman" w:hAnsi="Times New Roman" w:cs="Times New Roman"/>
          <w:i/>
          <w:iCs/>
          <w:sz w:val="20"/>
          <w:szCs w:val="20"/>
        </w:rPr>
        <w:t xml:space="preserve">American Economic Review </w:t>
      </w:r>
      <w:r w:rsidRPr="005E14C3">
        <w:rPr>
          <w:rFonts w:ascii="Times New Roman" w:hAnsi="Times New Roman" w:cs="Times New Roman"/>
          <w:sz w:val="20"/>
          <w:szCs w:val="20"/>
        </w:rPr>
        <w:t xml:space="preserve">85, no. 2 (1995): 271–5; Jean Kimmel, “Child Care Costs as a Barrier to Employment for Married and Single Mothers,” </w:t>
      </w:r>
      <w:r w:rsidRPr="005E14C3">
        <w:rPr>
          <w:rFonts w:ascii="Times New Roman" w:hAnsi="Times New Roman" w:cs="Times New Roman"/>
          <w:i/>
          <w:sz w:val="20"/>
          <w:szCs w:val="20"/>
        </w:rPr>
        <w:t>Review of Economics and Statistics</w:t>
      </w:r>
      <w:r w:rsidRPr="005E14C3">
        <w:rPr>
          <w:rFonts w:ascii="Times New Roman" w:hAnsi="Times New Roman" w:cs="Times New Roman"/>
          <w:sz w:val="20"/>
          <w:szCs w:val="20"/>
        </w:rPr>
        <w:t xml:space="preserve"> 80, no. 2 (May 1998): 287–99; Jean Kimmel, “The Role of Child Care Assistance in Welfare Reform,” </w:t>
      </w:r>
      <w:r w:rsidRPr="005E14C3">
        <w:rPr>
          <w:rFonts w:ascii="Times New Roman" w:hAnsi="Times New Roman" w:cs="Times New Roman"/>
          <w:i/>
          <w:iCs/>
          <w:sz w:val="20"/>
          <w:szCs w:val="20"/>
        </w:rPr>
        <w:t xml:space="preserve">Employment Research </w:t>
      </w:r>
      <w:r w:rsidRPr="005E14C3">
        <w:rPr>
          <w:rFonts w:ascii="Times New Roman" w:hAnsi="Times New Roman" w:cs="Times New Roman"/>
          <w:sz w:val="20"/>
          <w:szCs w:val="20"/>
        </w:rPr>
        <w:t xml:space="preserve">1, no. 2 (1994): 1–4; Karen Oppenheim Mason and Karen </w:t>
      </w:r>
      <w:proofErr w:type="spellStart"/>
      <w:r w:rsidRPr="005E14C3">
        <w:rPr>
          <w:rFonts w:ascii="Times New Roman" w:hAnsi="Times New Roman" w:cs="Times New Roman"/>
          <w:sz w:val="20"/>
          <w:szCs w:val="20"/>
        </w:rPr>
        <w:t>Kuhlthau</w:t>
      </w:r>
      <w:proofErr w:type="spellEnd"/>
      <w:r w:rsidRPr="005E14C3">
        <w:rPr>
          <w:rFonts w:ascii="Times New Roman" w:hAnsi="Times New Roman" w:cs="Times New Roman"/>
          <w:sz w:val="20"/>
          <w:szCs w:val="20"/>
        </w:rPr>
        <w:t xml:space="preserve">, “The Perceived Impact of Child Care Costs on Women’s Labor Supply and Fertility,” </w:t>
      </w:r>
      <w:r w:rsidRPr="005E14C3">
        <w:rPr>
          <w:rFonts w:ascii="Times New Roman" w:hAnsi="Times New Roman" w:cs="Times New Roman"/>
          <w:i/>
          <w:sz w:val="20"/>
          <w:szCs w:val="20"/>
        </w:rPr>
        <w:t>Demography</w:t>
      </w:r>
      <w:r w:rsidRPr="005E14C3">
        <w:rPr>
          <w:rFonts w:ascii="Times New Roman" w:hAnsi="Times New Roman" w:cs="Times New Roman"/>
          <w:sz w:val="20"/>
          <w:szCs w:val="20"/>
        </w:rPr>
        <w:t xml:space="preserve"> 29, no. 4 (November 1992): 523–43; Marcia K. Myers and Theresa </w:t>
      </w:r>
      <w:proofErr w:type="spellStart"/>
      <w:r w:rsidRPr="005E14C3">
        <w:rPr>
          <w:rFonts w:ascii="Times New Roman" w:hAnsi="Times New Roman" w:cs="Times New Roman"/>
          <w:sz w:val="20"/>
          <w:szCs w:val="20"/>
        </w:rPr>
        <w:t>Heitze</w:t>
      </w:r>
      <w:proofErr w:type="spellEnd"/>
      <w:r w:rsidRPr="005E14C3">
        <w:rPr>
          <w:rFonts w:ascii="Times New Roman" w:hAnsi="Times New Roman" w:cs="Times New Roman"/>
          <w:sz w:val="20"/>
          <w:szCs w:val="20"/>
        </w:rPr>
        <w:t xml:space="preserve">, “The Performance of the Child-Care Subsidy System,” </w:t>
      </w:r>
      <w:r w:rsidRPr="005E14C3">
        <w:rPr>
          <w:rFonts w:ascii="Times New Roman" w:hAnsi="Times New Roman" w:cs="Times New Roman"/>
          <w:i/>
          <w:sz w:val="20"/>
          <w:szCs w:val="20"/>
        </w:rPr>
        <w:t xml:space="preserve">Social Review </w:t>
      </w:r>
      <w:r w:rsidRPr="005E14C3">
        <w:rPr>
          <w:rFonts w:ascii="Times New Roman" w:hAnsi="Times New Roman" w:cs="Times New Roman"/>
          <w:sz w:val="20"/>
          <w:szCs w:val="20"/>
        </w:rPr>
        <w:t xml:space="preserve">73, no. 1 (March 1999): 37–64; Martin O’Connell and David Elliot Bloom, “Juggling Jobs and Babies: America’s Child Care Challenge,” </w:t>
      </w:r>
      <w:r w:rsidRPr="005E14C3">
        <w:rPr>
          <w:rFonts w:ascii="Times New Roman" w:hAnsi="Times New Roman" w:cs="Times New Roman"/>
          <w:i/>
          <w:sz w:val="20"/>
          <w:szCs w:val="20"/>
        </w:rPr>
        <w:t>Population Trends and Public Policy</w:t>
      </w:r>
      <w:r w:rsidRPr="005E14C3">
        <w:rPr>
          <w:rFonts w:ascii="Times New Roman" w:hAnsi="Times New Roman" w:cs="Times New Roman"/>
          <w:sz w:val="20"/>
          <w:szCs w:val="20"/>
        </w:rPr>
        <w:t xml:space="preserve">, no. 12 (February 12, 1987); Harriet B. </w:t>
      </w:r>
      <w:r w:rsidRPr="005E14C3">
        <w:rPr>
          <w:rStyle w:val="citation"/>
          <w:rFonts w:ascii="Times New Roman" w:hAnsi="Times New Roman" w:cs="Times New Roman"/>
          <w:sz w:val="20"/>
          <w:szCs w:val="20"/>
        </w:rPr>
        <w:t xml:space="preserve">Presser and Wendy Baldwin, “Child Care as a Constraint on Employment: Prevalence, Correlates, and Bearing on the Work and Fertility Nexus,” </w:t>
      </w:r>
      <w:r w:rsidRPr="005E14C3">
        <w:rPr>
          <w:rStyle w:val="ref-journal"/>
          <w:rFonts w:ascii="Times New Roman" w:hAnsi="Times New Roman" w:cs="Times New Roman"/>
          <w:i/>
          <w:sz w:val="20"/>
          <w:szCs w:val="20"/>
        </w:rPr>
        <w:t>American Journal of Sociology</w:t>
      </w:r>
      <w:r w:rsidRPr="005E14C3">
        <w:rPr>
          <w:rStyle w:val="ref-journal"/>
          <w:rFonts w:ascii="Times New Roman" w:hAnsi="Times New Roman" w:cs="Times New Roman"/>
          <w:sz w:val="20"/>
          <w:szCs w:val="20"/>
        </w:rPr>
        <w:t xml:space="preserve"> 85, no. 5 (March </w:t>
      </w:r>
      <w:r w:rsidRPr="005E14C3">
        <w:rPr>
          <w:rStyle w:val="citation"/>
          <w:rFonts w:ascii="Times New Roman" w:hAnsi="Times New Roman" w:cs="Times New Roman"/>
          <w:sz w:val="20"/>
          <w:szCs w:val="20"/>
        </w:rPr>
        <w:t xml:space="preserve">1980): 1202–13; David C. </w:t>
      </w:r>
      <w:proofErr w:type="spellStart"/>
      <w:r w:rsidRPr="005E14C3">
        <w:rPr>
          <w:rFonts w:ascii="Times New Roman" w:eastAsia="CMR10" w:hAnsi="Times New Roman" w:cs="Times New Roman"/>
          <w:sz w:val="20"/>
          <w:szCs w:val="20"/>
        </w:rPr>
        <w:t>Ribar</w:t>
      </w:r>
      <w:proofErr w:type="spellEnd"/>
      <w:r w:rsidRPr="005E14C3">
        <w:rPr>
          <w:rFonts w:ascii="Times New Roman" w:eastAsia="CMR10" w:hAnsi="Times New Roman" w:cs="Times New Roman"/>
          <w:sz w:val="20"/>
          <w:szCs w:val="20"/>
        </w:rPr>
        <w:t xml:space="preserve">, “Child Care and Labor Supply of Married Women: Reduced Form Evidence,” </w:t>
      </w:r>
      <w:r w:rsidRPr="005E14C3">
        <w:rPr>
          <w:rFonts w:ascii="Times New Roman" w:eastAsia="CMR10" w:hAnsi="Times New Roman" w:cs="Times New Roman"/>
          <w:i/>
          <w:iCs/>
          <w:sz w:val="20"/>
          <w:szCs w:val="20"/>
        </w:rPr>
        <w:t xml:space="preserve">Journal of Human Resources </w:t>
      </w:r>
      <w:r w:rsidRPr="005E14C3">
        <w:rPr>
          <w:rFonts w:ascii="Times New Roman" w:eastAsia="CMR10" w:hAnsi="Times New Roman" w:cs="Times New Roman"/>
          <w:sz w:val="20"/>
          <w:szCs w:val="20"/>
        </w:rPr>
        <w:t xml:space="preserve">27, no. 1 (Winter 1992): 134–65; and David C. </w:t>
      </w:r>
      <w:proofErr w:type="spellStart"/>
      <w:r w:rsidRPr="005E14C3">
        <w:rPr>
          <w:rFonts w:ascii="Times New Roman" w:eastAsia="CMR10" w:hAnsi="Times New Roman" w:cs="Times New Roman"/>
          <w:sz w:val="20"/>
          <w:szCs w:val="20"/>
        </w:rPr>
        <w:t>Ribar</w:t>
      </w:r>
      <w:proofErr w:type="spellEnd"/>
      <w:r w:rsidRPr="005E14C3">
        <w:rPr>
          <w:rFonts w:ascii="Times New Roman" w:eastAsia="CMR10" w:hAnsi="Times New Roman" w:cs="Times New Roman"/>
          <w:sz w:val="20"/>
          <w:szCs w:val="20"/>
        </w:rPr>
        <w:t xml:space="preserve">, “A Structural Model of Child Care and Labor Supply of Married Women,” </w:t>
      </w:r>
      <w:r w:rsidRPr="005E14C3">
        <w:rPr>
          <w:rFonts w:ascii="Times New Roman" w:eastAsia="CMR10" w:hAnsi="Times New Roman" w:cs="Times New Roman"/>
          <w:i/>
          <w:iCs/>
          <w:sz w:val="20"/>
          <w:szCs w:val="20"/>
        </w:rPr>
        <w:t xml:space="preserve">Journal of Labor Economics </w:t>
      </w:r>
      <w:r w:rsidRPr="005E14C3">
        <w:rPr>
          <w:rFonts w:ascii="Times New Roman" w:eastAsia="CMR10" w:hAnsi="Times New Roman" w:cs="Times New Roman"/>
          <w:bCs/>
          <w:sz w:val="20"/>
          <w:szCs w:val="20"/>
        </w:rPr>
        <w:t>13, no. 3 (July 1995): 558–97.</w:t>
      </w:r>
    </w:p>
  </w:footnote>
  <w:footnote w:id="77">
    <w:p w:rsidR="005B33EF" w:rsidRPr="005E14C3" w:rsidRDefault="005B33EF">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5E14C3">
        <w:rPr>
          <w:rFonts w:ascii="Times New Roman" w:hAnsi="Times New Roman" w:cs="Times New Roman"/>
          <w:color w:val="000000" w:themeColor="text1"/>
        </w:rPr>
        <w:t xml:space="preserve">David </w:t>
      </w:r>
      <w:proofErr w:type="spellStart"/>
      <w:r w:rsidRPr="005E14C3">
        <w:rPr>
          <w:rFonts w:ascii="Times New Roman" w:hAnsi="Times New Roman" w:cs="Times New Roman"/>
          <w:color w:val="000000" w:themeColor="text1"/>
        </w:rPr>
        <w:t>Blau</w:t>
      </w:r>
      <w:proofErr w:type="spellEnd"/>
      <w:r w:rsidRPr="005E14C3">
        <w:rPr>
          <w:rFonts w:ascii="Times New Roman" w:hAnsi="Times New Roman" w:cs="Times New Roman"/>
          <w:color w:val="000000" w:themeColor="text1"/>
        </w:rPr>
        <w:t xml:space="preserve"> and </w:t>
      </w:r>
      <w:proofErr w:type="spellStart"/>
      <w:r w:rsidRPr="005E14C3">
        <w:rPr>
          <w:rFonts w:ascii="Times New Roman" w:hAnsi="Times New Roman" w:cs="Times New Roman"/>
          <w:color w:val="000000" w:themeColor="text1"/>
        </w:rPr>
        <w:t>Erdal</w:t>
      </w:r>
      <w:proofErr w:type="spellEnd"/>
      <w:r w:rsidRPr="005E14C3">
        <w:rPr>
          <w:rFonts w:ascii="Times New Roman" w:hAnsi="Times New Roman" w:cs="Times New Roman"/>
          <w:color w:val="000000" w:themeColor="text1"/>
        </w:rPr>
        <w:t xml:space="preserve"> </w:t>
      </w:r>
      <w:proofErr w:type="spellStart"/>
      <w:r w:rsidRPr="005E14C3">
        <w:rPr>
          <w:rFonts w:ascii="Times New Roman" w:hAnsi="Times New Roman" w:cs="Times New Roman"/>
          <w:color w:val="000000" w:themeColor="text1"/>
        </w:rPr>
        <w:t>Tekin</w:t>
      </w:r>
      <w:proofErr w:type="spellEnd"/>
      <w:r w:rsidRPr="005E14C3">
        <w:rPr>
          <w:rFonts w:ascii="Times New Roman" w:hAnsi="Times New Roman" w:cs="Times New Roman"/>
          <w:color w:val="000000" w:themeColor="text1"/>
        </w:rPr>
        <w:t xml:space="preserve">, “The Determinants and Consequences of Child Care Subsidies for Single Mothers” </w:t>
      </w:r>
      <w:r w:rsidRPr="005E14C3">
        <w:rPr>
          <w:rFonts w:ascii="Times New Roman" w:hAnsi="Times New Roman" w:cs="Times New Roman"/>
          <w:i/>
          <w:color w:val="000000" w:themeColor="text1"/>
        </w:rPr>
        <w:t xml:space="preserve">Journal of Population Economics </w:t>
      </w:r>
      <w:r w:rsidRPr="005E14C3">
        <w:rPr>
          <w:rFonts w:ascii="Times New Roman" w:hAnsi="Times New Roman" w:cs="Times New Roman"/>
          <w:color w:val="000000" w:themeColor="text1"/>
        </w:rPr>
        <w:t>(</w:t>
      </w:r>
      <w:hyperlink r:id="rId63" w:history="1">
        <w:r w:rsidRPr="005E14C3">
          <w:rPr>
            <w:rStyle w:val="Hyperlink"/>
            <w:rFonts w:ascii="Times New Roman" w:hAnsi="Times New Roman" w:cs="Times New Roman"/>
          </w:rPr>
          <w:t>2003</w:t>
        </w:r>
      </w:hyperlink>
      <w:r w:rsidRPr="005E14C3">
        <w:rPr>
          <w:rFonts w:ascii="Times New Roman" w:hAnsi="Times New Roman" w:cs="Times New Roman"/>
          <w:color w:val="000000" w:themeColor="text1"/>
        </w:rPr>
        <w:t>)</w:t>
      </w:r>
    </w:p>
  </w:footnote>
  <w:footnote w:id="78">
    <w:p w:rsidR="00113223" w:rsidRPr="005E14C3" w:rsidRDefault="00113223">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Michael Baker, Jonathan Gruber, and Kevin Milligan, “Universal Childcare, Maternal Labor Supply, and Family Well-Being” </w:t>
      </w:r>
      <w:r w:rsidRPr="005E14C3">
        <w:rPr>
          <w:rFonts w:ascii="Times New Roman" w:hAnsi="Times New Roman" w:cs="Times New Roman"/>
          <w:i/>
        </w:rPr>
        <w:t xml:space="preserve">Journal of Political Economy </w:t>
      </w:r>
      <w:r w:rsidRPr="005E14C3">
        <w:rPr>
          <w:rFonts w:ascii="Times New Roman" w:hAnsi="Times New Roman" w:cs="Times New Roman"/>
        </w:rPr>
        <w:t>(</w:t>
      </w:r>
      <w:hyperlink r:id="rId64" w:history="1">
        <w:r w:rsidRPr="005E14C3">
          <w:rPr>
            <w:rStyle w:val="Hyperlink"/>
            <w:rFonts w:ascii="Times New Roman" w:hAnsi="Times New Roman" w:cs="Times New Roman"/>
          </w:rPr>
          <w:t>2008</w:t>
        </w:r>
      </w:hyperlink>
      <w:r w:rsidRPr="005E14C3">
        <w:rPr>
          <w:rFonts w:ascii="Times New Roman" w:hAnsi="Times New Roman" w:cs="Times New Roman"/>
        </w:rPr>
        <w:t>)</w:t>
      </w:r>
    </w:p>
  </w:footnote>
  <w:footnote w:id="79">
    <w:p w:rsidR="00113223" w:rsidRPr="005E14C3" w:rsidRDefault="00113223">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0014743B" w:rsidRPr="005E14C3">
        <w:rPr>
          <w:rFonts w:ascii="Times New Roman" w:hAnsi="Times New Roman" w:cs="Times New Roman"/>
        </w:rPr>
        <w:t>Mark C. Berger and Dan A. Black</w:t>
      </w:r>
      <w:r w:rsidRPr="005E14C3">
        <w:rPr>
          <w:rFonts w:ascii="Times New Roman" w:hAnsi="Times New Roman" w:cs="Times New Roman"/>
          <w:color w:val="000000" w:themeColor="text1"/>
        </w:rPr>
        <w:t>, “Child Care Subsidies, Quality of Care”</w:t>
      </w:r>
      <w:r w:rsidR="0014743B" w:rsidRPr="005E14C3">
        <w:rPr>
          <w:rFonts w:ascii="Times New Roman" w:hAnsi="Times New Roman" w:cs="Times New Roman"/>
          <w:color w:val="000000" w:themeColor="text1"/>
        </w:rPr>
        <w:t xml:space="preserve"> </w:t>
      </w:r>
      <w:r w:rsidR="0014743B" w:rsidRPr="005E14C3">
        <w:rPr>
          <w:rFonts w:ascii="Times New Roman" w:eastAsia="TimesNewRomanPS-ItalicMT" w:hAnsi="Times New Roman" w:cs="Times New Roman"/>
          <w:i/>
          <w:iCs/>
        </w:rPr>
        <w:t>Review of Economics and Statistics</w:t>
      </w:r>
      <w:r w:rsidR="0014743B" w:rsidRPr="005E14C3">
        <w:rPr>
          <w:rFonts w:ascii="Times New Roman" w:hAnsi="Times New Roman" w:cs="Times New Roman"/>
          <w:color w:val="000000" w:themeColor="text1"/>
        </w:rPr>
        <w:t xml:space="preserve"> (</w:t>
      </w:r>
      <w:hyperlink r:id="rId65" w:history="1">
        <w:r w:rsidR="0014743B" w:rsidRPr="005E14C3">
          <w:rPr>
            <w:rStyle w:val="Hyperlink"/>
            <w:rFonts w:ascii="Times New Roman" w:hAnsi="Times New Roman" w:cs="Times New Roman"/>
          </w:rPr>
          <w:t>1992</w:t>
        </w:r>
      </w:hyperlink>
      <w:r w:rsidR="0014743B" w:rsidRPr="005E14C3">
        <w:rPr>
          <w:rFonts w:ascii="Times New Roman" w:hAnsi="Times New Roman" w:cs="Times New Roman"/>
          <w:color w:val="000000" w:themeColor="text1"/>
        </w:rPr>
        <w:t>)</w:t>
      </w:r>
    </w:p>
  </w:footnote>
  <w:footnote w:id="80">
    <w:p w:rsidR="00337F27" w:rsidRPr="005E14C3" w:rsidRDefault="00337F27">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5E14C3">
        <w:rPr>
          <w:rFonts w:ascii="Times New Roman" w:hAnsi="Times New Roman" w:cs="Times New Roman"/>
          <w:color w:val="000000" w:themeColor="text1"/>
        </w:rPr>
        <w:t xml:space="preserve">Janice Compton and Robert A. </w:t>
      </w:r>
      <w:proofErr w:type="spellStart"/>
      <w:r w:rsidRPr="005E14C3">
        <w:rPr>
          <w:rFonts w:ascii="Times New Roman" w:hAnsi="Times New Roman" w:cs="Times New Roman"/>
          <w:color w:val="000000" w:themeColor="text1"/>
        </w:rPr>
        <w:t>Pollak</w:t>
      </w:r>
      <w:proofErr w:type="spellEnd"/>
      <w:r w:rsidRPr="005E14C3">
        <w:rPr>
          <w:rFonts w:ascii="Times New Roman" w:hAnsi="Times New Roman" w:cs="Times New Roman"/>
          <w:color w:val="000000" w:themeColor="text1"/>
        </w:rPr>
        <w:t>, “Family Proximity, Childcare, and Women’s Labor Force Attachment”</w:t>
      </w:r>
      <w:r w:rsidRPr="005E14C3">
        <w:rPr>
          <w:rFonts w:ascii="Times New Roman" w:hAnsi="Times New Roman" w:cs="Times New Roman"/>
          <w:iCs/>
          <w:color w:val="000000" w:themeColor="text1"/>
        </w:rPr>
        <w:t xml:space="preserve"> (NBER working paper, </w:t>
      </w:r>
      <w:hyperlink r:id="rId66" w:history="1">
        <w:r w:rsidRPr="005E14C3">
          <w:rPr>
            <w:rStyle w:val="Hyperlink"/>
            <w:rFonts w:ascii="Times New Roman" w:hAnsi="Times New Roman" w:cs="Times New Roman"/>
            <w:iCs/>
          </w:rPr>
          <w:t>2011</w:t>
        </w:r>
      </w:hyperlink>
      <w:r w:rsidRPr="005E14C3">
        <w:rPr>
          <w:rFonts w:ascii="Times New Roman" w:hAnsi="Times New Roman" w:cs="Times New Roman"/>
          <w:iCs/>
          <w:color w:val="000000" w:themeColor="text1"/>
        </w:rPr>
        <w:t>)</w:t>
      </w:r>
    </w:p>
  </w:footnote>
  <w:footnote w:id="81">
    <w:p w:rsidR="00F81F35" w:rsidRPr="005E14C3" w:rsidRDefault="00F81F35">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Bruce D. Meyer and Dan T. Rosenbaum, “Making Single Mothers Work: Recent Tax and Welfare Policy and Its Effects” </w:t>
      </w:r>
      <w:r w:rsidRPr="005E14C3">
        <w:rPr>
          <w:rFonts w:ascii="Times New Roman" w:hAnsi="Times New Roman" w:cs="Times New Roman"/>
          <w:i/>
        </w:rPr>
        <w:t xml:space="preserve">Quarterly Journal of Economics </w:t>
      </w:r>
      <w:r w:rsidRPr="005E14C3">
        <w:rPr>
          <w:rFonts w:ascii="Times New Roman" w:hAnsi="Times New Roman" w:cs="Times New Roman"/>
        </w:rPr>
        <w:t>(</w:t>
      </w:r>
      <w:hyperlink r:id="rId67" w:history="1">
        <w:r w:rsidRPr="005E14C3">
          <w:rPr>
            <w:rStyle w:val="Hyperlink"/>
            <w:rFonts w:ascii="Times New Roman" w:hAnsi="Times New Roman" w:cs="Times New Roman"/>
          </w:rPr>
          <w:t>2001</w:t>
        </w:r>
      </w:hyperlink>
      <w:r w:rsidRPr="005E14C3">
        <w:rPr>
          <w:rFonts w:ascii="Times New Roman" w:hAnsi="Times New Roman" w:cs="Times New Roman"/>
        </w:rPr>
        <w:t>)</w:t>
      </w:r>
    </w:p>
  </w:footnote>
  <w:footnote w:id="82">
    <w:p w:rsidR="00F81F35" w:rsidRPr="005E14C3" w:rsidRDefault="00F81F35">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Jean Kimmel, “Child Care Costs as a Barrier to Employment for Married and Single Mothers” </w:t>
      </w:r>
      <w:r w:rsidRPr="005E14C3">
        <w:rPr>
          <w:rFonts w:ascii="Times New Roman" w:hAnsi="Times New Roman" w:cs="Times New Roman"/>
          <w:i/>
        </w:rPr>
        <w:t>Review of Economics and Statistics</w:t>
      </w:r>
      <w:r w:rsidRPr="005E14C3">
        <w:rPr>
          <w:rFonts w:ascii="Times New Roman" w:hAnsi="Times New Roman" w:cs="Times New Roman"/>
        </w:rPr>
        <w:t xml:space="preserve"> (</w:t>
      </w:r>
      <w:hyperlink r:id="rId68" w:history="1">
        <w:r w:rsidRPr="005E14C3">
          <w:rPr>
            <w:rStyle w:val="Hyperlink"/>
            <w:rFonts w:ascii="Times New Roman" w:hAnsi="Times New Roman" w:cs="Times New Roman"/>
          </w:rPr>
          <w:t>1998</w:t>
        </w:r>
      </w:hyperlink>
      <w:r w:rsidRPr="005E14C3">
        <w:rPr>
          <w:rFonts w:ascii="Times New Roman" w:hAnsi="Times New Roman" w:cs="Times New Roman"/>
        </w:rPr>
        <w:t>)</w:t>
      </w:r>
    </w:p>
  </w:footnote>
  <w:footnote w:id="83">
    <w:p w:rsidR="00F81F35" w:rsidRPr="005E14C3" w:rsidRDefault="00F81F35">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Jean Kimmel, “The Effectiveness of Child Care Subsidies in the Welfare to Work Transition of Low-Income Single Mothers” </w:t>
      </w:r>
      <w:r w:rsidRPr="005E14C3">
        <w:rPr>
          <w:rFonts w:ascii="Times New Roman" w:hAnsi="Times New Roman" w:cs="Times New Roman"/>
          <w:i/>
          <w:iCs/>
        </w:rPr>
        <w:t xml:space="preserve">American Economic Review </w:t>
      </w:r>
      <w:r w:rsidRPr="005E14C3">
        <w:rPr>
          <w:rFonts w:ascii="Times New Roman" w:hAnsi="Times New Roman" w:cs="Times New Roman"/>
        </w:rPr>
        <w:t>(</w:t>
      </w:r>
      <w:hyperlink r:id="rId69" w:history="1">
        <w:r w:rsidRPr="005E14C3">
          <w:rPr>
            <w:rStyle w:val="Hyperlink"/>
            <w:rFonts w:ascii="Times New Roman" w:hAnsi="Times New Roman" w:cs="Times New Roman"/>
          </w:rPr>
          <w:t>1995</w:t>
        </w:r>
      </w:hyperlink>
      <w:r w:rsidRPr="005E14C3">
        <w:rPr>
          <w:rFonts w:ascii="Times New Roman" w:hAnsi="Times New Roman" w:cs="Times New Roman"/>
        </w:rPr>
        <w:t>)</w:t>
      </w:r>
    </w:p>
  </w:footnote>
  <w:footnote w:id="84">
    <w:p w:rsidR="00F81F35" w:rsidRPr="005E14C3" w:rsidRDefault="00F81F35" w:rsidP="00F81F35">
      <w:pPr>
        <w:pStyle w:val="End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Alan D. Viard, “The Child Care Tax Credit: Not Just Another Middle-Income Tax Break”</w:t>
      </w:r>
      <w:r w:rsidRPr="005E14C3">
        <w:rPr>
          <w:rFonts w:ascii="Times New Roman" w:hAnsi="Times New Roman" w:cs="Times New Roman"/>
          <w:i/>
        </w:rPr>
        <w:t xml:space="preserve"> </w:t>
      </w:r>
      <w:r w:rsidRPr="005E14C3">
        <w:rPr>
          <w:rFonts w:ascii="Times New Roman" w:hAnsi="Times New Roman" w:cs="Times New Roman"/>
        </w:rPr>
        <w:t xml:space="preserve">(On The Margin, </w:t>
      </w:r>
      <w:r w:rsidRPr="005E14C3">
        <w:rPr>
          <w:rFonts w:ascii="Times New Roman" w:hAnsi="Times New Roman" w:cs="Times New Roman"/>
          <w:i/>
        </w:rPr>
        <w:t>Tax Notes</w:t>
      </w:r>
      <w:r w:rsidRPr="005E14C3">
        <w:rPr>
          <w:rFonts w:ascii="Times New Roman" w:hAnsi="Times New Roman" w:cs="Times New Roman"/>
        </w:rPr>
        <w:t xml:space="preserve">, </w:t>
      </w:r>
      <w:hyperlink r:id="rId70" w:history="1">
        <w:r w:rsidRPr="005E14C3">
          <w:rPr>
            <w:rStyle w:val="Hyperlink"/>
            <w:rFonts w:ascii="Times New Roman" w:hAnsi="Times New Roman" w:cs="Times New Roman"/>
          </w:rPr>
          <w:t>2010</w:t>
        </w:r>
      </w:hyperlink>
      <w:r w:rsidRPr="005E14C3">
        <w:rPr>
          <w:rFonts w:ascii="Times New Roman" w:hAnsi="Times New Roman" w:cs="Times New Roman"/>
        </w:rPr>
        <w:t>)</w:t>
      </w:r>
    </w:p>
  </w:footnote>
  <w:footnote w:id="85">
    <w:p w:rsidR="00F81F35" w:rsidRPr="009A6587" w:rsidRDefault="00F81F35">
      <w:pPr>
        <w:pStyle w:val="FootnoteText"/>
        <w:rPr>
          <w:rFonts w:ascii="Times New Roman" w:hAnsi="Times New Roman" w:cs="Times New Roman"/>
        </w:rPr>
      </w:pPr>
      <w:r w:rsidRPr="005E14C3">
        <w:rPr>
          <w:rStyle w:val="FootnoteReference"/>
          <w:rFonts w:ascii="Times New Roman" w:hAnsi="Times New Roman" w:cs="Times New Roman"/>
        </w:rPr>
        <w:footnoteRef/>
      </w:r>
      <w:r w:rsidRPr="005E14C3">
        <w:rPr>
          <w:rFonts w:ascii="Times New Roman" w:hAnsi="Times New Roman" w:cs="Times New Roman"/>
        </w:rPr>
        <w:t xml:space="preserve"> </w:t>
      </w:r>
      <w:r w:rsidRPr="009A6587">
        <w:rPr>
          <w:rFonts w:ascii="Times New Roman" w:hAnsi="Times New Roman" w:cs="Times New Roman"/>
        </w:rPr>
        <w:t>Baker, Gruber, and Milligan (2008)</w:t>
      </w:r>
    </w:p>
  </w:footnote>
  <w:footnote w:id="86">
    <w:p w:rsidR="00377946" w:rsidRPr="009A6587" w:rsidRDefault="00377946">
      <w:pPr>
        <w:pStyle w:val="FootnoteText"/>
        <w:rPr>
          <w:rFonts w:ascii="Times New Roman" w:hAnsi="Times New Roman" w:cs="Times New Roman"/>
        </w:rPr>
      </w:pPr>
      <w:r w:rsidRPr="009A6587">
        <w:rPr>
          <w:rStyle w:val="FootnoteReference"/>
          <w:rFonts w:ascii="Times New Roman" w:hAnsi="Times New Roman" w:cs="Times New Roman"/>
        </w:rPr>
        <w:footnoteRef/>
      </w:r>
      <w:r w:rsidRPr="009A6587">
        <w:rPr>
          <w:rFonts w:ascii="Times New Roman" w:hAnsi="Times New Roman" w:cs="Times New Roman"/>
        </w:rPr>
        <w:t xml:space="preserve"> </w:t>
      </w:r>
      <w:r w:rsidRPr="009A6587">
        <w:rPr>
          <w:rFonts w:ascii="Times New Roman" w:hAnsi="Times New Roman" w:cs="Times New Roman"/>
          <w:color w:val="000000" w:themeColor="text1"/>
        </w:rPr>
        <w:t xml:space="preserve">In a review of the literature, </w:t>
      </w:r>
      <w:proofErr w:type="spellStart"/>
      <w:r w:rsidRPr="009A6587">
        <w:rPr>
          <w:rFonts w:ascii="Times New Roman" w:hAnsi="Times New Roman" w:cs="Times New Roman"/>
          <w:color w:val="000000" w:themeColor="text1"/>
        </w:rPr>
        <w:t>Waldfogel</w:t>
      </w:r>
      <w:proofErr w:type="spellEnd"/>
      <w:r w:rsidRPr="009A6587">
        <w:rPr>
          <w:rFonts w:ascii="Times New Roman" w:hAnsi="Times New Roman" w:cs="Times New Roman"/>
          <w:color w:val="000000" w:themeColor="text1"/>
        </w:rPr>
        <w:t xml:space="preserve"> concludes that more research is needed to assess the outcomes on children of various types of child care. See Jane </w:t>
      </w:r>
      <w:proofErr w:type="spellStart"/>
      <w:r w:rsidRPr="009A6587">
        <w:rPr>
          <w:rFonts w:ascii="Times New Roman" w:hAnsi="Times New Roman" w:cs="Times New Roman"/>
          <w:color w:val="000000" w:themeColor="text1"/>
        </w:rPr>
        <w:t>Waldfogel</w:t>
      </w:r>
      <w:proofErr w:type="spellEnd"/>
      <w:r w:rsidRPr="009A6587">
        <w:rPr>
          <w:rFonts w:ascii="Times New Roman" w:hAnsi="Times New Roman" w:cs="Times New Roman"/>
          <w:color w:val="000000" w:themeColor="text1"/>
        </w:rPr>
        <w:t>, “</w:t>
      </w:r>
      <w:r w:rsidRPr="009A6587">
        <w:rPr>
          <w:rFonts w:ascii="Times New Roman" w:hAnsi="Times New Roman" w:cs="Times New Roman"/>
          <w:color w:val="000000"/>
        </w:rPr>
        <w:t xml:space="preserve">Childcare, Women’s Employment, and Child Outcomes” </w:t>
      </w:r>
      <w:r w:rsidRPr="009A6587">
        <w:rPr>
          <w:rFonts w:ascii="Times New Roman" w:hAnsi="Times New Roman" w:cs="Times New Roman"/>
          <w:i/>
          <w:iCs/>
          <w:color w:val="000000"/>
        </w:rPr>
        <w:t>Journal of Population Economics</w:t>
      </w:r>
      <w:r w:rsidRPr="009A6587">
        <w:rPr>
          <w:rFonts w:ascii="Times New Roman" w:hAnsi="Times New Roman" w:cs="Times New Roman"/>
          <w:iCs/>
          <w:color w:val="000000"/>
        </w:rPr>
        <w:t xml:space="preserve"> (</w:t>
      </w:r>
      <w:hyperlink r:id="rId71" w:history="1">
        <w:r w:rsidRPr="009A6587">
          <w:rPr>
            <w:rStyle w:val="Hyperlink"/>
            <w:rFonts w:ascii="Times New Roman" w:hAnsi="Times New Roman" w:cs="Times New Roman"/>
            <w:iCs/>
          </w:rPr>
          <w:t>2000</w:t>
        </w:r>
      </w:hyperlink>
      <w:r w:rsidRPr="009A6587">
        <w:rPr>
          <w:rFonts w:ascii="Times New Roman" w:hAnsi="Times New Roman" w:cs="Times New Roman"/>
          <w:iCs/>
          <w:color w:val="000000"/>
        </w:rPr>
        <w:t>)</w:t>
      </w:r>
    </w:p>
  </w:footnote>
  <w:footnote w:id="87">
    <w:p w:rsidR="009A6587" w:rsidRPr="009A6587" w:rsidRDefault="009A6587">
      <w:pPr>
        <w:pStyle w:val="FootnoteText"/>
        <w:rPr>
          <w:rFonts w:ascii="Times New Roman" w:hAnsi="Times New Roman" w:cs="Times New Roman"/>
        </w:rPr>
      </w:pPr>
      <w:r w:rsidRPr="009A6587">
        <w:rPr>
          <w:rStyle w:val="FootnoteReference"/>
          <w:rFonts w:ascii="Times New Roman" w:hAnsi="Times New Roman" w:cs="Times New Roman"/>
        </w:rPr>
        <w:footnoteRef/>
      </w:r>
      <w:r w:rsidRPr="009A6587">
        <w:rPr>
          <w:rFonts w:ascii="Times New Roman" w:hAnsi="Times New Roman" w:cs="Times New Roman"/>
        </w:rPr>
        <w:t xml:space="preserve"> </w:t>
      </w:r>
      <w:r>
        <w:rPr>
          <w:rFonts w:ascii="Times New Roman" w:hAnsi="Times New Roman" w:cs="Times New Roman"/>
        </w:rPr>
        <w:t>Raquel Bernal and Michael P. Keane, “</w:t>
      </w:r>
      <w:r w:rsidRPr="009A6587">
        <w:rPr>
          <w:rFonts w:ascii="Times New Roman" w:hAnsi="Times New Roman" w:cs="Times New Roman"/>
        </w:rPr>
        <w:t>Child Care Choices and Children’s Cognitive Achievement: The Case of Single Mothers</w:t>
      </w:r>
      <w:r>
        <w:rPr>
          <w:rFonts w:ascii="Times New Roman" w:hAnsi="Times New Roman" w:cs="Times New Roman"/>
        </w:rPr>
        <w:t xml:space="preserve">” </w:t>
      </w:r>
      <w:r>
        <w:rPr>
          <w:rFonts w:ascii="Times New Roman" w:hAnsi="Times New Roman" w:cs="Times New Roman"/>
          <w:i/>
        </w:rPr>
        <w:t xml:space="preserve">Journal of Labor Economics </w:t>
      </w:r>
      <w:r>
        <w:rPr>
          <w:rFonts w:ascii="Times New Roman" w:hAnsi="Times New Roman" w:cs="Times New Roman"/>
        </w:rPr>
        <w:t>(</w:t>
      </w:r>
      <w:hyperlink r:id="rId72" w:history="1">
        <w:r w:rsidRPr="009A6587">
          <w:rPr>
            <w:rStyle w:val="Hyperlink"/>
            <w:rFonts w:ascii="Times New Roman" w:hAnsi="Times New Roman" w:cs="Times New Roman"/>
          </w:rPr>
          <w:t>2011</w:t>
        </w:r>
      </w:hyperlink>
      <w:r>
        <w:rPr>
          <w:rFonts w:ascii="Times New Roman" w:hAnsi="Times New Roman" w:cs="Times New Roman"/>
        </w:rPr>
        <w:t>)</w:t>
      </w:r>
    </w:p>
  </w:footnote>
  <w:footnote w:id="88">
    <w:p w:rsidR="00377946" w:rsidRPr="009A6587" w:rsidRDefault="00377946">
      <w:pPr>
        <w:pStyle w:val="FootnoteText"/>
        <w:rPr>
          <w:rFonts w:ascii="Times New Roman" w:hAnsi="Times New Roman" w:cs="Times New Roman"/>
        </w:rPr>
      </w:pPr>
      <w:r w:rsidRPr="009A6587">
        <w:rPr>
          <w:rStyle w:val="FootnoteReference"/>
          <w:rFonts w:ascii="Times New Roman" w:hAnsi="Times New Roman" w:cs="Times New Roman"/>
        </w:rPr>
        <w:footnoteRef/>
      </w:r>
      <w:r w:rsidRPr="009A6587">
        <w:rPr>
          <w:rFonts w:ascii="Times New Roman" w:hAnsi="Times New Roman" w:cs="Times New Roman"/>
        </w:rPr>
        <w:t xml:space="preserve"> Laughlin (2013)</w:t>
      </w:r>
    </w:p>
  </w:footnote>
  <w:footnote w:id="89">
    <w:p w:rsidR="00252965" w:rsidRPr="005E14C3" w:rsidRDefault="00252965">
      <w:pPr>
        <w:pStyle w:val="FootnoteText"/>
        <w:rPr>
          <w:rFonts w:ascii="Times New Roman" w:hAnsi="Times New Roman" w:cs="Times New Roman"/>
        </w:rPr>
      </w:pPr>
      <w:r w:rsidRPr="009A6587">
        <w:rPr>
          <w:rStyle w:val="FootnoteReference"/>
          <w:rFonts w:ascii="Times New Roman" w:hAnsi="Times New Roman" w:cs="Times New Roman"/>
        </w:rPr>
        <w:footnoteRef/>
      </w:r>
      <w:r w:rsidRPr="009A6587">
        <w:rPr>
          <w:rFonts w:ascii="Times New Roman" w:hAnsi="Times New Roman" w:cs="Times New Roman"/>
        </w:rPr>
        <w:t xml:space="preserve"> Zachary Goldfarb, “Breaking: Obama to Propose Expanding EITC and Child Tax Credit in Budget”</w:t>
      </w:r>
      <w:r w:rsidRPr="009A6587">
        <w:rPr>
          <w:rFonts w:ascii="Times New Roman" w:hAnsi="Times New Roman" w:cs="Times New Roman"/>
          <w:i/>
        </w:rPr>
        <w:t xml:space="preserve"> Washington Post, </w:t>
      </w:r>
      <w:hyperlink r:id="rId73" w:history="1">
        <w:r w:rsidRPr="009A6587">
          <w:rPr>
            <w:rStyle w:val="Hyperlink"/>
            <w:rFonts w:ascii="Times New Roman" w:hAnsi="Times New Roman" w:cs="Times New Roman"/>
          </w:rPr>
          <w:t>March 3, 2014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B7B"/>
    <w:multiLevelType w:val="hybridMultilevel"/>
    <w:tmpl w:val="28521AB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FF"/>
    <w:rsid w:val="000022B9"/>
    <w:rsid w:val="00024657"/>
    <w:rsid w:val="0004385B"/>
    <w:rsid w:val="00045025"/>
    <w:rsid w:val="00052886"/>
    <w:rsid w:val="00082D0E"/>
    <w:rsid w:val="00093AB8"/>
    <w:rsid w:val="0009678A"/>
    <w:rsid w:val="000B13D1"/>
    <w:rsid w:val="000C493F"/>
    <w:rsid w:val="000C674A"/>
    <w:rsid w:val="000C6F08"/>
    <w:rsid w:val="000D34CF"/>
    <w:rsid w:val="000D6FE5"/>
    <w:rsid w:val="00113223"/>
    <w:rsid w:val="001248D3"/>
    <w:rsid w:val="00127090"/>
    <w:rsid w:val="001313D7"/>
    <w:rsid w:val="00143744"/>
    <w:rsid w:val="0014515E"/>
    <w:rsid w:val="0014743B"/>
    <w:rsid w:val="0017070A"/>
    <w:rsid w:val="001912DB"/>
    <w:rsid w:val="001A15D7"/>
    <w:rsid w:val="001B4AB7"/>
    <w:rsid w:val="001C2EA7"/>
    <w:rsid w:val="001F7482"/>
    <w:rsid w:val="00240922"/>
    <w:rsid w:val="00252965"/>
    <w:rsid w:val="002B0ABE"/>
    <w:rsid w:val="002B4804"/>
    <w:rsid w:val="002D1C4F"/>
    <w:rsid w:val="0031492C"/>
    <w:rsid w:val="003165C9"/>
    <w:rsid w:val="00330E7E"/>
    <w:rsid w:val="00337F27"/>
    <w:rsid w:val="00352775"/>
    <w:rsid w:val="00377946"/>
    <w:rsid w:val="00393BC9"/>
    <w:rsid w:val="003A18FF"/>
    <w:rsid w:val="003A3F05"/>
    <w:rsid w:val="003B3039"/>
    <w:rsid w:val="003C22D2"/>
    <w:rsid w:val="003E6D6F"/>
    <w:rsid w:val="003F44B0"/>
    <w:rsid w:val="00431A31"/>
    <w:rsid w:val="004442D6"/>
    <w:rsid w:val="00464A99"/>
    <w:rsid w:val="00474AF4"/>
    <w:rsid w:val="004C5876"/>
    <w:rsid w:val="00503225"/>
    <w:rsid w:val="00506F0F"/>
    <w:rsid w:val="00525EBC"/>
    <w:rsid w:val="00551053"/>
    <w:rsid w:val="0056083D"/>
    <w:rsid w:val="00567D52"/>
    <w:rsid w:val="00584A6E"/>
    <w:rsid w:val="005879C2"/>
    <w:rsid w:val="005A2957"/>
    <w:rsid w:val="005B33EF"/>
    <w:rsid w:val="005E14C3"/>
    <w:rsid w:val="00603815"/>
    <w:rsid w:val="00615AED"/>
    <w:rsid w:val="006210AC"/>
    <w:rsid w:val="00637407"/>
    <w:rsid w:val="0066272E"/>
    <w:rsid w:val="00696B93"/>
    <w:rsid w:val="006D090D"/>
    <w:rsid w:val="006D1E97"/>
    <w:rsid w:val="007321DF"/>
    <w:rsid w:val="00742AF9"/>
    <w:rsid w:val="007473DD"/>
    <w:rsid w:val="00747AEF"/>
    <w:rsid w:val="00752120"/>
    <w:rsid w:val="0076608A"/>
    <w:rsid w:val="00782701"/>
    <w:rsid w:val="00796158"/>
    <w:rsid w:val="007D126C"/>
    <w:rsid w:val="00847CFD"/>
    <w:rsid w:val="00852B6F"/>
    <w:rsid w:val="00856F67"/>
    <w:rsid w:val="00863481"/>
    <w:rsid w:val="00881227"/>
    <w:rsid w:val="008A001F"/>
    <w:rsid w:val="008A4602"/>
    <w:rsid w:val="008D5850"/>
    <w:rsid w:val="008D752F"/>
    <w:rsid w:val="008E29B3"/>
    <w:rsid w:val="00907F98"/>
    <w:rsid w:val="00924230"/>
    <w:rsid w:val="00952C59"/>
    <w:rsid w:val="00963CAA"/>
    <w:rsid w:val="00977E42"/>
    <w:rsid w:val="009871C1"/>
    <w:rsid w:val="00990500"/>
    <w:rsid w:val="009A6587"/>
    <w:rsid w:val="009A699D"/>
    <w:rsid w:val="009D00B2"/>
    <w:rsid w:val="009D5B6C"/>
    <w:rsid w:val="00A0580A"/>
    <w:rsid w:val="00A06EC9"/>
    <w:rsid w:val="00A104AD"/>
    <w:rsid w:val="00A24006"/>
    <w:rsid w:val="00A2745F"/>
    <w:rsid w:val="00A27BE3"/>
    <w:rsid w:val="00A30320"/>
    <w:rsid w:val="00A34786"/>
    <w:rsid w:val="00A52EFF"/>
    <w:rsid w:val="00A5555A"/>
    <w:rsid w:val="00A601DE"/>
    <w:rsid w:val="00A650BF"/>
    <w:rsid w:val="00A660D0"/>
    <w:rsid w:val="00A740BD"/>
    <w:rsid w:val="00A96E33"/>
    <w:rsid w:val="00AA63EE"/>
    <w:rsid w:val="00AC0057"/>
    <w:rsid w:val="00AD32C6"/>
    <w:rsid w:val="00B175D6"/>
    <w:rsid w:val="00B55AA5"/>
    <w:rsid w:val="00B72EBB"/>
    <w:rsid w:val="00B82D66"/>
    <w:rsid w:val="00B91662"/>
    <w:rsid w:val="00BC7F46"/>
    <w:rsid w:val="00BD2520"/>
    <w:rsid w:val="00BF2EE3"/>
    <w:rsid w:val="00C05CE2"/>
    <w:rsid w:val="00C1592A"/>
    <w:rsid w:val="00C326D7"/>
    <w:rsid w:val="00C43792"/>
    <w:rsid w:val="00C55F3E"/>
    <w:rsid w:val="00C764DD"/>
    <w:rsid w:val="00C83598"/>
    <w:rsid w:val="00CA405A"/>
    <w:rsid w:val="00CB1CCC"/>
    <w:rsid w:val="00CB3F33"/>
    <w:rsid w:val="00D13C9B"/>
    <w:rsid w:val="00D4799F"/>
    <w:rsid w:val="00D531F8"/>
    <w:rsid w:val="00D5671C"/>
    <w:rsid w:val="00D601CF"/>
    <w:rsid w:val="00D6369B"/>
    <w:rsid w:val="00D6694D"/>
    <w:rsid w:val="00D706CB"/>
    <w:rsid w:val="00D744E9"/>
    <w:rsid w:val="00DB6280"/>
    <w:rsid w:val="00DC63B3"/>
    <w:rsid w:val="00DD1558"/>
    <w:rsid w:val="00DD451A"/>
    <w:rsid w:val="00E14F79"/>
    <w:rsid w:val="00E43406"/>
    <w:rsid w:val="00E550E1"/>
    <w:rsid w:val="00E75500"/>
    <w:rsid w:val="00E86621"/>
    <w:rsid w:val="00EB5213"/>
    <w:rsid w:val="00EB7BD6"/>
    <w:rsid w:val="00EE7804"/>
    <w:rsid w:val="00F17384"/>
    <w:rsid w:val="00F20ECB"/>
    <w:rsid w:val="00F335EF"/>
    <w:rsid w:val="00F81F35"/>
    <w:rsid w:val="00F907AF"/>
    <w:rsid w:val="00FD47BC"/>
    <w:rsid w:val="00FD609A"/>
    <w:rsid w:val="00FE3FC2"/>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F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8FF"/>
    <w:pPr>
      <w:ind w:left="720"/>
      <w:contextualSpacing/>
    </w:pPr>
  </w:style>
  <w:style w:type="paragraph" w:styleId="FootnoteText">
    <w:name w:val="footnote text"/>
    <w:basedOn w:val="Normal"/>
    <w:link w:val="FootnoteTextChar"/>
    <w:uiPriority w:val="99"/>
    <w:unhideWhenUsed/>
    <w:rsid w:val="003A18FF"/>
    <w:pPr>
      <w:spacing w:after="0" w:line="240" w:lineRule="auto"/>
    </w:pPr>
    <w:rPr>
      <w:sz w:val="20"/>
      <w:szCs w:val="20"/>
    </w:rPr>
  </w:style>
  <w:style w:type="character" w:customStyle="1" w:styleId="FootnoteTextChar">
    <w:name w:val="Footnote Text Char"/>
    <w:basedOn w:val="DefaultParagraphFont"/>
    <w:link w:val="FootnoteText"/>
    <w:uiPriority w:val="99"/>
    <w:rsid w:val="003A18FF"/>
    <w:rPr>
      <w:rFonts w:eastAsiaTheme="minorHAnsi"/>
      <w:sz w:val="20"/>
      <w:szCs w:val="20"/>
    </w:rPr>
  </w:style>
  <w:style w:type="character" w:styleId="FootnoteReference">
    <w:name w:val="footnote reference"/>
    <w:basedOn w:val="DefaultParagraphFont"/>
    <w:uiPriority w:val="99"/>
    <w:unhideWhenUsed/>
    <w:rsid w:val="003A18FF"/>
    <w:rPr>
      <w:vertAlign w:val="superscript"/>
    </w:rPr>
  </w:style>
  <w:style w:type="character" w:styleId="Hyperlink">
    <w:name w:val="Hyperlink"/>
    <w:basedOn w:val="DefaultParagraphFont"/>
    <w:uiPriority w:val="99"/>
    <w:unhideWhenUsed/>
    <w:rsid w:val="003A18FF"/>
    <w:rPr>
      <w:color w:val="0000FF" w:themeColor="hyperlink"/>
      <w:u w:val="single"/>
    </w:rPr>
  </w:style>
  <w:style w:type="character" w:customStyle="1" w:styleId="A9">
    <w:name w:val="A9"/>
    <w:uiPriority w:val="99"/>
    <w:rsid w:val="003A18FF"/>
    <w:rPr>
      <w:rFonts w:cs="Whitney Book"/>
      <w:color w:val="000000"/>
      <w:sz w:val="11"/>
      <w:szCs w:val="11"/>
    </w:rPr>
  </w:style>
  <w:style w:type="paragraph" w:styleId="EndnoteText">
    <w:name w:val="endnote text"/>
    <w:basedOn w:val="Normal"/>
    <w:link w:val="EndnoteTextChar"/>
    <w:uiPriority w:val="99"/>
    <w:unhideWhenUsed/>
    <w:rsid w:val="003A18FF"/>
    <w:pPr>
      <w:spacing w:after="0" w:line="240" w:lineRule="auto"/>
    </w:pPr>
    <w:rPr>
      <w:sz w:val="20"/>
      <w:szCs w:val="20"/>
    </w:rPr>
  </w:style>
  <w:style w:type="character" w:customStyle="1" w:styleId="EndnoteTextChar">
    <w:name w:val="Endnote Text Char"/>
    <w:basedOn w:val="DefaultParagraphFont"/>
    <w:link w:val="EndnoteText"/>
    <w:uiPriority w:val="99"/>
    <w:rsid w:val="003A18FF"/>
    <w:rPr>
      <w:rFonts w:eastAsiaTheme="minorHAnsi"/>
      <w:sz w:val="20"/>
      <w:szCs w:val="20"/>
    </w:rPr>
  </w:style>
  <w:style w:type="character" w:styleId="EndnoteReference">
    <w:name w:val="endnote reference"/>
    <w:basedOn w:val="DefaultParagraphFont"/>
    <w:uiPriority w:val="99"/>
    <w:semiHidden/>
    <w:unhideWhenUsed/>
    <w:rsid w:val="003A18FF"/>
    <w:rPr>
      <w:vertAlign w:val="superscript"/>
    </w:rPr>
  </w:style>
  <w:style w:type="character" w:customStyle="1" w:styleId="citation">
    <w:name w:val="citation"/>
    <w:basedOn w:val="DefaultParagraphFont"/>
    <w:rsid w:val="003A18FF"/>
  </w:style>
  <w:style w:type="character" w:customStyle="1" w:styleId="ref-journal">
    <w:name w:val="ref-journal"/>
    <w:basedOn w:val="DefaultParagraphFont"/>
    <w:rsid w:val="003A18FF"/>
  </w:style>
  <w:style w:type="paragraph" w:styleId="NormalWeb">
    <w:name w:val="Normal (Web)"/>
    <w:basedOn w:val="Normal"/>
    <w:uiPriority w:val="99"/>
    <w:unhideWhenUsed/>
    <w:rsid w:val="003A1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18FF"/>
  </w:style>
  <w:style w:type="character" w:styleId="CommentReference">
    <w:name w:val="annotation reference"/>
    <w:basedOn w:val="DefaultParagraphFont"/>
    <w:uiPriority w:val="99"/>
    <w:semiHidden/>
    <w:unhideWhenUsed/>
    <w:rsid w:val="003A18FF"/>
    <w:rPr>
      <w:sz w:val="16"/>
      <w:szCs w:val="16"/>
    </w:rPr>
  </w:style>
  <w:style w:type="paragraph" w:styleId="CommentText">
    <w:name w:val="annotation text"/>
    <w:basedOn w:val="Normal"/>
    <w:link w:val="CommentTextChar"/>
    <w:uiPriority w:val="99"/>
    <w:semiHidden/>
    <w:unhideWhenUsed/>
    <w:rsid w:val="003A18FF"/>
    <w:pPr>
      <w:spacing w:line="240" w:lineRule="auto"/>
    </w:pPr>
    <w:rPr>
      <w:sz w:val="20"/>
      <w:szCs w:val="20"/>
    </w:rPr>
  </w:style>
  <w:style w:type="character" w:customStyle="1" w:styleId="CommentTextChar">
    <w:name w:val="Comment Text Char"/>
    <w:basedOn w:val="DefaultParagraphFont"/>
    <w:link w:val="CommentText"/>
    <w:uiPriority w:val="99"/>
    <w:semiHidden/>
    <w:rsid w:val="003A18FF"/>
    <w:rPr>
      <w:rFonts w:eastAsiaTheme="minorHAnsi"/>
      <w:sz w:val="20"/>
      <w:szCs w:val="20"/>
    </w:rPr>
  </w:style>
  <w:style w:type="paragraph" w:styleId="BalloonText">
    <w:name w:val="Balloon Text"/>
    <w:basedOn w:val="Normal"/>
    <w:link w:val="BalloonTextChar"/>
    <w:uiPriority w:val="99"/>
    <w:semiHidden/>
    <w:unhideWhenUsed/>
    <w:rsid w:val="003A18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8FF"/>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AD32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F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8FF"/>
    <w:pPr>
      <w:ind w:left="720"/>
      <w:contextualSpacing/>
    </w:pPr>
  </w:style>
  <w:style w:type="paragraph" w:styleId="FootnoteText">
    <w:name w:val="footnote text"/>
    <w:basedOn w:val="Normal"/>
    <w:link w:val="FootnoteTextChar"/>
    <w:uiPriority w:val="99"/>
    <w:unhideWhenUsed/>
    <w:rsid w:val="003A18FF"/>
    <w:pPr>
      <w:spacing w:after="0" w:line="240" w:lineRule="auto"/>
    </w:pPr>
    <w:rPr>
      <w:sz w:val="20"/>
      <w:szCs w:val="20"/>
    </w:rPr>
  </w:style>
  <w:style w:type="character" w:customStyle="1" w:styleId="FootnoteTextChar">
    <w:name w:val="Footnote Text Char"/>
    <w:basedOn w:val="DefaultParagraphFont"/>
    <w:link w:val="FootnoteText"/>
    <w:uiPriority w:val="99"/>
    <w:rsid w:val="003A18FF"/>
    <w:rPr>
      <w:rFonts w:eastAsiaTheme="minorHAnsi"/>
      <w:sz w:val="20"/>
      <w:szCs w:val="20"/>
    </w:rPr>
  </w:style>
  <w:style w:type="character" w:styleId="FootnoteReference">
    <w:name w:val="footnote reference"/>
    <w:basedOn w:val="DefaultParagraphFont"/>
    <w:uiPriority w:val="99"/>
    <w:unhideWhenUsed/>
    <w:rsid w:val="003A18FF"/>
    <w:rPr>
      <w:vertAlign w:val="superscript"/>
    </w:rPr>
  </w:style>
  <w:style w:type="character" w:styleId="Hyperlink">
    <w:name w:val="Hyperlink"/>
    <w:basedOn w:val="DefaultParagraphFont"/>
    <w:uiPriority w:val="99"/>
    <w:unhideWhenUsed/>
    <w:rsid w:val="003A18FF"/>
    <w:rPr>
      <w:color w:val="0000FF" w:themeColor="hyperlink"/>
      <w:u w:val="single"/>
    </w:rPr>
  </w:style>
  <w:style w:type="character" w:customStyle="1" w:styleId="A9">
    <w:name w:val="A9"/>
    <w:uiPriority w:val="99"/>
    <w:rsid w:val="003A18FF"/>
    <w:rPr>
      <w:rFonts w:cs="Whitney Book"/>
      <w:color w:val="000000"/>
      <w:sz w:val="11"/>
      <w:szCs w:val="11"/>
    </w:rPr>
  </w:style>
  <w:style w:type="paragraph" w:styleId="EndnoteText">
    <w:name w:val="endnote text"/>
    <w:basedOn w:val="Normal"/>
    <w:link w:val="EndnoteTextChar"/>
    <w:uiPriority w:val="99"/>
    <w:unhideWhenUsed/>
    <w:rsid w:val="003A18FF"/>
    <w:pPr>
      <w:spacing w:after="0" w:line="240" w:lineRule="auto"/>
    </w:pPr>
    <w:rPr>
      <w:sz w:val="20"/>
      <w:szCs w:val="20"/>
    </w:rPr>
  </w:style>
  <w:style w:type="character" w:customStyle="1" w:styleId="EndnoteTextChar">
    <w:name w:val="Endnote Text Char"/>
    <w:basedOn w:val="DefaultParagraphFont"/>
    <w:link w:val="EndnoteText"/>
    <w:uiPriority w:val="99"/>
    <w:rsid w:val="003A18FF"/>
    <w:rPr>
      <w:rFonts w:eastAsiaTheme="minorHAnsi"/>
      <w:sz w:val="20"/>
      <w:szCs w:val="20"/>
    </w:rPr>
  </w:style>
  <w:style w:type="character" w:styleId="EndnoteReference">
    <w:name w:val="endnote reference"/>
    <w:basedOn w:val="DefaultParagraphFont"/>
    <w:uiPriority w:val="99"/>
    <w:semiHidden/>
    <w:unhideWhenUsed/>
    <w:rsid w:val="003A18FF"/>
    <w:rPr>
      <w:vertAlign w:val="superscript"/>
    </w:rPr>
  </w:style>
  <w:style w:type="character" w:customStyle="1" w:styleId="citation">
    <w:name w:val="citation"/>
    <w:basedOn w:val="DefaultParagraphFont"/>
    <w:rsid w:val="003A18FF"/>
  </w:style>
  <w:style w:type="character" w:customStyle="1" w:styleId="ref-journal">
    <w:name w:val="ref-journal"/>
    <w:basedOn w:val="DefaultParagraphFont"/>
    <w:rsid w:val="003A18FF"/>
  </w:style>
  <w:style w:type="paragraph" w:styleId="NormalWeb">
    <w:name w:val="Normal (Web)"/>
    <w:basedOn w:val="Normal"/>
    <w:uiPriority w:val="99"/>
    <w:unhideWhenUsed/>
    <w:rsid w:val="003A1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18FF"/>
  </w:style>
  <w:style w:type="character" w:styleId="CommentReference">
    <w:name w:val="annotation reference"/>
    <w:basedOn w:val="DefaultParagraphFont"/>
    <w:uiPriority w:val="99"/>
    <w:semiHidden/>
    <w:unhideWhenUsed/>
    <w:rsid w:val="003A18FF"/>
    <w:rPr>
      <w:sz w:val="16"/>
      <w:szCs w:val="16"/>
    </w:rPr>
  </w:style>
  <w:style w:type="paragraph" w:styleId="CommentText">
    <w:name w:val="annotation text"/>
    <w:basedOn w:val="Normal"/>
    <w:link w:val="CommentTextChar"/>
    <w:uiPriority w:val="99"/>
    <w:semiHidden/>
    <w:unhideWhenUsed/>
    <w:rsid w:val="003A18FF"/>
    <w:pPr>
      <w:spacing w:line="240" w:lineRule="auto"/>
    </w:pPr>
    <w:rPr>
      <w:sz w:val="20"/>
      <w:szCs w:val="20"/>
    </w:rPr>
  </w:style>
  <w:style w:type="character" w:customStyle="1" w:styleId="CommentTextChar">
    <w:name w:val="Comment Text Char"/>
    <w:basedOn w:val="DefaultParagraphFont"/>
    <w:link w:val="CommentText"/>
    <w:uiPriority w:val="99"/>
    <w:semiHidden/>
    <w:rsid w:val="003A18FF"/>
    <w:rPr>
      <w:rFonts w:eastAsiaTheme="minorHAnsi"/>
      <w:sz w:val="20"/>
      <w:szCs w:val="20"/>
    </w:rPr>
  </w:style>
  <w:style w:type="paragraph" w:styleId="BalloonText">
    <w:name w:val="Balloon Text"/>
    <w:basedOn w:val="Normal"/>
    <w:link w:val="BalloonTextChar"/>
    <w:uiPriority w:val="99"/>
    <w:semiHidden/>
    <w:unhideWhenUsed/>
    <w:rsid w:val="003A18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8FF"/>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AD3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169">
      <w:bodyDiv w:val="1"/>
      <w:marLeft w:val="0"/>
      <w:marRight w:val="0"/>
      <w:marTop w:val="0"/>
      <w:marBottom w:val="0"/>
      <w:divBdr>
        <w:top w:val="none" w:sz="0" w:space="0" w:color="auto"/>
        <w:left w:val="none" w:sz="0" w:space="0" w:color="auto"/>
        <w:bottom w:val="none" w:sz="0" w:space="0" w:color="auto"/>
        <w:right w:val="none" w:sz="0" w:space="0" w:color="auto"/>
      </w:divBdr>
      <w:divsChild>
        <w:div w:id="1367563103">
          <w:marLeft w:val="0"/>
          <w:marRight w:val="0"/>
          <w:marTop w:val="0"/>
          <w:marBottom w:val="0"/>
          <w:divBdr>
            <w:top w:val="none" w:sz="0" w:space="0" w:color="auto"/>
            <w:left w:val="none" w:sz="0" w:space="0" w:color="auto"/>
            <w:bottom w:val="none" w:sz="0" w:space="0" w:color="auto"/>
            <w:right w:val="none" w:sz="0" w:space="0" w:color="auto"/>
          </w:divBdr>
        </w:div>
        <w:div w:id="2101675048">
          <w:marLeft w:val="0"/>
          <w:marRight w:val="0"/>
          <w:marTop w:val="0"/>
          <w:marBottom w:val="0"/>
          <w:divBdr>
            <w:top w:val="none" w:sz="0" w:space="0" w:color="auto"/>
            <w:left w:val="none" w:sz="0" w:space="0" w:color="auto"/>
            <w:bottom w:val="none" w:sz="0" w:space="0" w:color="auto"/>
            <w:right w:val="none" w:sz="0" w:space="0" w:color="auto"/>
          </w:divBdr>
        </w:div>
      </w:divsChild>
    </w:div>
    <w:div w:id="148913494">
      <w:bodyDiv w:val="1"/>
      <w:marLeft w:val="0"/>
      <w:marRight w:val="0"/>
      <w:marTop w:val="0"/>
      <w:marBottom w:val="0"/>
      <w:divBdr>
        <w:top w:val="none" w:sz="0" w:space="0" w:color="auto"/>
        <w:left w:val="none" w:sz="0" w:space="0" w:color="auto"/>
        <w:bottom w:val="none" w:sz="0" w:space="0" w:color="auto"/>
        <w:right w:val="none" w:sz="0" w:space="0" w:color="auto"/>
      </w:divBdr>
    </w:div>
    <w:div w:id="649866063">
      <w:bodyDiv w:val="1"/>
      <w:marLeft w:val="0"/>
      <w:marRight w:val="0"/>
      <w:marTop w:val="0"/>
      <w:marBottom w:val="0"/>
      <w:divBdr>
        <w:top w:val="none" w:sz="0" w:space="0" w:color="auto"/>
        <w:left w:val="none" w:sz="0" w:space="0" w:color="auto"/>
        <w:bottom w:val="none" w:sz="0" w:space="0" w:color="auto"/>
        <w:right w:val="none" w:sz="0" w:space="0" w:color="auto"/>
      </w:divBdr>
      <w:divsChild>
        <w:div w:id="1875384685">
          <w:marLeft w:val="0"/>
          <w:marRight w:val="0"/>
          <w:marTop w:val="0"/>
          <w:marBottom w:val="0"/>
          <w:divBdr>
            <w:top w:val="none" w:sz="0" w:space="0" w:color="auto"/>
            <w:left w:val="none" w:sz="0" w:space="0" w:color="auto"/>
            <w:bottom w:val="none" w:sz="0" w:space="0" w:color="auto"/>
            <w:right w:val="none" w:sz="0" w:space="0" w:color="auto"/>
          </w:divBdr>
        </w:div>
        <w:div w:id="1766266455">
          <w:marLeft w:val="0"/>
          <w:marRight w:val="0"/>
          <w:marTop w:val="0"/>
          <w:marBottom w:val="0"/>
          <w:divBdr>
            <w:top w:val="none" w:sz="0" w:space="0" w:color="auto"/>
            <w:left w:val="none" w:sz="0" w:space="0" w:color="auto"/>
            <w:bottom w:val="none" w:sz="0" w:space="0" w:color="auto"/>
            <w:right w:val="none" w:sz="0" w:space="0" w:color="auto"/>
          </w:divBdr>
        </w:div>
        <w:div w:id="256446106">
          <w:marLeft w:val="0"/>
          <w:marRight w:val="0"/>
          <w:marTop w:val="0"/>
          <w:marBottom w:val="0"/>
          <w:divBdr>
            <w:top w:val="none" w:sz="0" w:space="0" w:color="auto"/>
            <w:left w:val="none" w:sz="0" w:space="0" w:color="auto"/>
            <w:bottom w:val="none" w:sz="0" w:space="0" w:color="auto"/>
            <w:right w:val="none" w:sz="0" w:space="0" w:color="auto"/>
          </w:divBdr>
        </w:div>
        <w:div w:id="1223440102">
          <w:marLeft w:val="0"/>
          <w:marRight w:val="0"/>
          <w:marTop w:val="0"/>
          <w:marBottom w:val="0"/>
          <w:divBdr>
            <w:top w:val="none" w:sz="0" w:space="0" w:color="auto"/>
            <w:left w:val="none" w:sz="0" w:space="0" w:color="auto"/>
            <w:bottom w:val="none" w:sz="0" w:space="0" w:color="auto"/>
            <w:right w:val="none" w:sz="0" w:space="0" w:color="auto"/>
          </w:divBdr>
        </w:div>
      </w:divsChild>
    </w:div>
    <w:div w:id="793251016">
      <w:bodyDiv w:val="1"/>
      <w:marLeft w:val="0"/>
      <w:marRight w:val="0"/>
      <w:marTop w:val="0"/>
      <w:marBottom w:val="0"/>
      <w:divBdr>
        <w:top w:val="none" w:sz="0" w:space="0" w:color="auto"/>
        <w:left w:val="none" w:sz="0" w:space="0" w:color="auto"/>
        <w:bottom w:val="none" w:sz="0" w:space="0" w:color="auto"/>
        <w:right w:val="none" w:sz="0" w:space="0" w:color="auto"/>
      </w:divBdr>
      <w:divsChild>
        <w:div w:id="1730109349">
          <w:marLeft w:val="0"/>
          <w:marRight w:val="0"/>
          <w:marTop w:val="0"/>
          <w:marBottom w:val="0"/>
          <w:divBdr>
            <w:top w:val="none" w:sz="0" w:space="0" w:color="auto"/>
            <w:left w:val="none" w:sz="0" w:space="0" w:color="auto"/>
            <w:bottom w:val="none" w:sz="0" w:space="0" w:color="auto"/>
            <w:right w:val="none" w:sz="0" w:space="0" w:color="auto"/>
          </w:divBdr>
        </w:div>
        <w:div w:id="1778328206">
          <w:marLeft w:val="0"/>
          <w:marRight w:val="0"/>
          <w:marTop w:val="0"/>
          <w:marBottom w:val="0"/>
          <w:divBdr>
            <w:top w:val="none" w:sz="0" w:space="0" w:color="auto"/>
            <w:left w:val="none" w:sz="0" w:space="0" w:color="auto"/>
            <w:bottom w:val="none" w:sz="0" w:space="0" w:color="auto"/>
            <w:right w:val="none" w:sz="0" w:space="0" w:color="auto"/>
          </w:divBdr>
        </w:div>
      </w:divsChild>
    </w:div>
    <w:div w:id="829910627">
      <w:bodyDiv w:val="1"/>
      <w:marLeft w:val="0"/>
      <w:marRight w:val="0"/>
      <w:marTop w:val="0"/>
      <w:marBottom w:val="0"/>
      <w:divBdr>
        <w:top w:val="none" w:sz="0" w:space="0" w:color="auto"/>
        <w:left w:val="none" w:sz="0" w:space="0" w:color="auto"/>
        <w:bottom w:val="none" w:sz="0" w:space="0" w:color="auto"/>
        <w:right w:val="none" w:sz="0" w:space="0" w:color="auto"/>
      </w:divBdr>
    </w:div>
    <w:div w:id="918372269">
      <w:bodyDiv w:val="1"/>
      <w:marLeft w:val="0"/>
      <w:marRight w:val="0"/>
      <w:marTop w:val="0"/>
      <w:marBottom w:val="0"/>
      <w:divBdr>
        <w:top w:val="none" w:sz="0" w:space="0" w:color="auto"/>
        <w:left w:val="none" w:sz="0" w:space="0" w:color="auto"/>
        <w:bottom w:val="none" w:sz="0" w:space="0" w:color="auto"/>
        <w:right w:val="none" w:sz="0" w:space="0" w:color="auto"/>
      </w:divBdr>
    </w:div>
    <w:div w:id="1029987528">
      <w:bodyDiv w:val="1"/>
      <w:marLeft w:val="0"/>
      <w:marRight w:val="0"/>
      <w:marTop w:val="0"/>
      <w:marBottom w:val="0"/>
      <w:divBdr>
        <w:top w:val="none" w:sz="0" w:space="0" w:color="auto"/>
        <w:left w:val="none" w:sz="0" w:space="0" w:color="auto"/>
        <w:bottom w:val="none" w:sz="0" w:space="0" w:color="auto"/>
        <w:right w:val="none" w:sz="0" w:space="0" w:color="auto"/>
      </w:divBdr>
    </w:div>
    <w:div w:id="1203595997">
      <w:bodyDiv w:val="1"/>
      <w:marLeft w:val="0"/>
      <w:marRight w:val="0"/>
      <w:marTop w:val="0"/>
      <w:marBottom w:val="0"/>
      <w:divBdr>
        <w:top w:val="none" w:sz="0" w:space="0" w:color="auto"/>
        <w:left w:val="none" w:sz="0" w:space="0" w:color="auto"/>
        <w:bottom w:val="none" w:sz="0" w:space="0" w:color="auto"/>
        <w:right w:val="none" w:sz="0" w:space="0" w:color="auto"/>
      </w:divBdr>
      <w:divsChild>
        <w:div w:id="29187174">
          <w:marLeft w:val="0"/>
          <w:marRight w:val="0"/>
          <w:marTop w:val="0"/>
          <w:marBottom w:val="0"/>
          <w:divBdr>
            <w:top w:val="none" w:sz="0" w:space="0" w:color="auto"/>
            <w:left w:val="none" w:sz="0" w:space="0" w:color="auto"/>
            <w:bottom w:val="none" w:sz="0" w:space="0" w:color="auto"/>
            <w:right w:val="none" w:sz="0" w:space="0" w:color="auto"/>
          </w:divBdr>
        </w:div>
      </w:divsChild>
    </w:div>
    <w:div w:id="1306547524">
      <w:bodyDiv w:val="1"/>
      <w:marLeft w:val="0"/>
      <w:marRight w:val="0"/>
      <w:marTop w:val="0"/>
      <w:marBottom w:val="0"/>
      <w:divBdr>
        <w:top w:val="none" w:sz="0" w:space="0" w:color="auto"/>
        <w:left w:val="none" w:sz="0" w:space="0" w:color="auto"/>
        <w:bottom w:val="none" w:sz="0" w:space="0" w:color="auto"/>
        <w:right w:val="none" w:sz="0" w:space="0" w:color="auto"/>
      </w:divBdr>
    </w:div>
    <w:div w:id="1511337637">
      <w:bodyDiv w:val="1"/>
      <w:marLeft w:val="0"/>
      <w:marRight w:val="0"/>
      <w:marTop w:val="0"/>
      <w:marBottom w:val="0"/>
      <w:divBdr>
        <w:top w:val="none" w:sz="0" w:space="0" w:color="auto"/>
        <w:left w:val="none" w:sz="0" w:space="0" w:color="auto"/>
        <w:bottom w:val="none" w:sz="0" w:space="0" w:color="auto"/>
        <w:right w:val="none" w:sz="0" w:space="0" w:color="auto"/>
      </w:divBdr>
    </w:div>
    <w:div w:id="2106221481">
      <w:bodyDiv w:val="1"/>
      <w:marLeft w:val="0"/>
      <w:marRight w:val="0"/>
      <w:marTop w:val="0"/>
      <w:marBottom w:val="0"/>
      <w:divBdr>
        <w:top w:val="none" w:sz="0" w:space="0" w:color="auto"/>
        <w:left w:val="none" w:sz="0" w:space="0" w:color="auto"/>
        <w:bottom w:val="none" w:sz="0" w:space="0" w:color="auto"/>
        <w:right w:val="none" w:sz="0" w:space="0" w:color="auto"/>
      </w:divBdr>
      <w:divsChild>
        <w:div w:id="1732344132">
          <w:marLeft w:val="0"/>
          <w:marRight w:val="0"/>
          <w:marTop w:val="0"/>
          <w:marBottom w:val="0"/>
          <w:divBdr>
            <w:top w:val="none" w:sz="0" w:space="0" w:color="auto"/>
            <w:left w:val="none" w:sz="0" w:space="0" w:color="auto"/>
            <w:bottom w:val="none" w:sz="0" w:space="0" w:color="auto"/>
            <w:right w:val="none" w:sz="0" w:space="0" w:color="auto"/>
          </w:divBdr>
        </w:div>
        <w:div w:id="1311210038">
          <w:marLeft w:val="0"/>
          <w:marRight w:val="0"/>
          <w:marTop w:val="0"/>
          <w:marBottom w:val="0"/>
          <w:divBdr>
            <w:top w:val="none" w:sz="0" w:space="0" w:color="auto"/>
            <w:left w:val="none" w:sz="0" w:space="0" w:color="auto"/>
            <w:bottom w:val="none" w:sz="0" w:space="0" w:color="auto"/>
            <w:right w:val="none" w:sz="0" w:space="0" w:color="auto"/>
          </w:divBdr>
        </w:div>
        <w:div w:id="557712607">
          <w:marLeft w:val="0"/>
          <w:marRight w:val="0"/>
          <w:marTop w:val="0"/>
          <w:marBottom w:val="0"/>
          <w:divBdr>
            <w:top w:val="none" w:sz="0" w:space="0" w:color="auto"/>
            <w:left w:val="none" w:sz="0" w:space="0" w:color="auto"/>
            <w:bottom w:val="none" w:sz="0" w:space="0" w:color="auto"/>
            <w:right w:val="none" w:sz="0" w:space="0" w:color="auto"/>
          </w:divBdr>
        </w:div>
        <w:div w:id="1429815680">
          <w:marLeft w:val="0"/>
          <w:marRight w:val="0"/>
          <w:marTop w:val="0"/>
          <w:marBottom w:val="0"/>
          <w:divBdr>
            <w:top w:val="none" w:sz="0" w:space="0" w:color="auto"/>
            <w:left w:val="none" w:sz="0" w:space="0" w:color="auto"/>
            <w:bottom w:val="none" w:sz="0" w:space="0" w:color="auto"/>
            <w:right w:val="none" w:sz="0" w:space="0" w:color="auto"/>
          </w:divBdr>
        </w:div>
        <w:div w:id="1692684376">
          <w:marLeft w:val="0"/>
          <w:marRight w:val="0"/>
          <w:marTop w:val="0"/>
          <w:marBottom w:val="0"/>
          <w:divBdr>
            <w:top w:val="none" w:sz="0" w:space="0" w:color="auto"/>
            <w:left w:val="none" w:sz="0" w:space="0" w:color="auto"/>
            <w:bottom w:val="none" w:sz="0" w:space="0" w:color="auto"/>
            <w:right w:val="none" w:sz="0" w:space="0" w:color="auto"/>
          </w:divBdr>
        </w:div>
        <w:div w:id="1903784520">
          <w:marLeft w:val="0"/>
          <w:marRight w:val="0"/>
          <w:marTop w:val="0"/>
          <w:marBottom w:val="0"/>
          <w:divBdr>
            <w:top w:val="none" w:sz="0" w:space="0" w:color="auto"/>
            <w:left w:val="none" w:sz="0" w:space="0" w:color="auto"/>
            <w:bottom w:val="none" w:sz="0" w:space="0" w:color="auto"/>
            <w:right w:val="none" w:sz="0" w:space="0" w:color="auto"/>
          </w:divBdr>
        </w:div>
        <w:div w:id="1589315172">
          <w:marLeft w:val="0"/>
          <w:marRight w:val="0"/>
          <w:marTop w:val="0"/>
          <w:marBottom w:val="0"/>
          <w:divBdr>
            <w:top w:val="none" w:sz="0" w:space="0" w:color="auto"/>
            <w:left w:val="none" w:sz="0" w:space="0" w:color="auto"/>
            <w:bottom w:val="none" w:sz="0" w:space="0" w:color="auto"/>
            <w:right w:val="none" w:sz="0" w:space="0" w:color="auto"/>
          </w:divBdr>
        </w:div>
        <w:div w:id="1102844227">
          <w:marLeft w:val="0"/>
          <w:marRight w:val="0"/>
          <w:marTop w:val="0"/>
          <w:marBottom w:val="0"/>
          <w:divBdr>
            <w:top w:val="none" w:sz="0" w:space="0" w:color="auto"/>
            <w:left w:val="none" w:sz="0" w:space="0" w:color="auto"/>
            <w:bottom w:val="none" w:sz="0" w:space="0" w:color="auto"/>
            <w:right w:val="none" w:sz="0" w:space="0" w:color="auto"/>
          </w:divBdr>
        </w:div>
        <w:div w:id="945190049">
          <w:marLeft w:val="0"/>
          <w:marRight w:val="0"/>
          <w:marTop w:val="0"/>
          <w:marBottom w:val="0"/>
          <w:divBdr>
            <w:top w:val="none" w:sz="0" w:space="0" w:color="auto"/>
            <w:left w:val="none" w:sz="0" w:space="0" w:color="auto"/>
            <w:bottom w:val="none" w:sz="0" w:space="0" w:color="auto"/>
            <w:right w:val="none" w:sz="0" w:space="0" w:color="auto"/>
          </w:divBdr>
        </w:div>
        <w:div w:id="2093042561">
          <w:marLeft w:val="0"/>
          <w:marRight w:val="0"/>
          <w:marTop w:val="0"/>
          <w:marBottom w:val="0"/>
          <w:divBdr>
            <w:top w:val="none" w:sz="0" w:space="0" w:color="auto"/>
            <w:left w:val="none" w:sz="0" w:space="0" w:color="auto"/>
            <w:bottom w:val="none" w:sz="0" w:space="0" w:color="auto"/>
            <w:right w:val="none" w:sz="0" w:space="0" w:color="auto"/>
          </w:divBdr>
        </w:div>
        <w:div w:id="937717272">
          <w:marLeft w:val="0"/>
          <w:marRight w:val="0"/>
          <w:marTop w:val="0"/>
          <w:marBottom w:val="0"/>
          <w:divBdr>
            <w:top w:val="none" w:sz="0" w:space="0" w:color="auto"/>
            <w:left w:val="none" w:sz="0" w:space="0" w:color="auto"/>
            <w:bottom w:val="none" w:sz="0" w:space="0" w:color="auto"/>
            <w:right w:val="none" w:sz="0" w:space="0" w:color="auto"/>
          </w:divBdr>
        </w:div>
        <w:div w:id="1177844917">
          <w:marLeft w:val="0"/>
          <w:marRight w:val="0"/>
          <w:marTop w:val="0"/>
          <w:marBottom w:val="0"/>
          <w:divBdr>
            <w:top w:val="none" w:sz="0" w:space="0" w:color="auto"/>
            <w:left w:val="none" w:sz="0" w:space="0" w:color="auto"/>
            <w:bottom w:val="none" w:sz="0" w:space="0" w:color="auto"/>
            <w:right w:val="none" w:sz="0" w:space="0" w:color="auto"/>
          </w:divBdr>
        </w:div>
        <w:div w:id="1515532334">
          <w:marLeft w:val="0"/>
          <w:marRight w:val="0"/>
          <w:marTop w:val="0"/>
          <w:marBottom w:val="0"/>
          <w:divBdr>
            <w:top w:val="none" w:sz="0" w:space="0" w:color="auto"/>
            <w:left w:val="none" w:sz="0" w:space="0" w:color="auto"/>
            <w:bottom w:val="none" w:sz="0" w:space="0" w:color="auto"/>
            <w:right w:val="none" w:sz="0" w:space="0" w:color="auto"/>
          </w:divBdr>
        </w:div>
        <w:div w:id="1885555889">
          <w:marLeft w:val="0"/>
          <w:marRight w:val="0"/>
          <w:marTop w:val="0"/>
          <w:marBottom w:val="0"/>
          <w:divBdr>
            <w:top w:val="none" w:sz="0" w:space="0" w:color="auto"/>
            <w:left w:val="none" w:sz="0" w:space="0" w:color="auto"/>
            <w:bottom w:val="none" w:sz="0" w:space="0" w:color="auto"/>
            <w:right w:val="none" w:sz="0" w:space="0" w:color="auto"/>
          </w:divBdr>
        </w:div>
        <w:div w:id="780613945">
          <w:marLeft w:val="0"/>
          <w:marRight w:val="0"/>
          <w:marTop w:val="0"/>
          <w:marBottom w:val="0"/>
          <w:divBdr>
            <w:top w:val="none" w:sz="0" w:space="0" w:color="auto"/>
            <w:left w:val="none" w:sz="0" w:space="0" w:color="auto"/>
            <w:bottom w:val="none" w:sz="0" w:space="0" w:color="auto"/>
            <w:right w:val="none" w:sz="0" w:space="0" w:color="auto"/>
          </w:divBdr>
        </w:div>
        <w:div w:id="1190996662">
          <w:marLeft w:val="0"/>
          <w:marRight w:val="0"/>
          <w:marTop w:val="0"/>
          <w:marBottom w:val="0"/>
          <w:divBdr>
            <w:top w:val="none" w:sz="0" w:space="0" w:color="auto"/>
            <w:left w:val="none" w:sz="0" w:space="0" w:color="auto"/>
            <w:bottom w:val="none" w:sz="0" w:space="0" w:color="auto"/>
            <w:right w:val="none" w:sz="0" w:space="0" w:color="auto"/>
          </w:divBdr>
        </w:div>
        <w:div w:id="504396911">
          <w:marLeft w:val="0"/>
          <w:marRight w:val="0"/>
          <w:marTop w:val="0"/>
          <w:marBottom w:val="0"/>
          <w:divBdr>
            <w:top w:val="none" w:sz="0" w:space="0" w:color="auto"/>
            <w:left w:val="none" w:sz="0" w:space="0" w:color="auto"/>
            <w:bottom w:val="none" w:sz="0" w:space="0" w:color="auto"/>
            <w:right w:val="none" w:sz="0" w:space="0" w:color="auto"/>
          </w:divBdr>
        </w:div>
        <w:div w:id="1725370318">
          <w:marLeft w:val="0"/>
          <w:marRight w:val="0"/>
          <w:marTop w:val="0"/>
          <w:marBottom w:val="0"/>
          <w:divBdr>
            <w:top w:val="none" w:sz="0" w:space="0" w:color="auto"/>
            <w:left w:val="none" w:sz="0" w:space="0" w:color="auto"/>
            <w:bottom w:val="none" w:sz="0" w:space="0" w:color="auto"/>
            <w:right w:val="none" w:sz="0" w:space="0" w:color="auto"/>
          </w:divBdr>
        </w:div>
        <w:div w:id="1396707369">
          <w:marLeft w:val="0"/>
          <w:marRight w:val="0"/>
          <w:marTop w:val="0"/>
          <w:marBottom w:val="0"/>
          <w:divBdr>
            <w:top w:val="none" w:sz="0" w:space="0" w:color="auto"/>
            <w:left w:val="none" w:sz="0" w:space="0" w:color="auto"/>
            <w:bottom w:val="none" w:sz="0" w:space="0" w:color="auto"/>
            <w:right w:val="none" w:sz="0" w:space="0" w:color="auto"/>
          </w:divBdr>
        </w:div>
        <w:div w:id="252671180">
          <w:marLeft w:val="0"/>
          <w:marRight w:val="0"/>
          <w:marTop w:val="0"/>
          <w:marBottom w:val="0"/>
          <w:divBdr>
            <w:top w:val="none" w:sz="0" w:space="0" w:color="auto"/>
            <w:left w:val="none" w:sz="0" w:space="0" w:color="auto"/>
            <w:bottom w:val="none" w:sz="0" w:space="0" w:color="auto"/>
            <w:right w:val="none" w:sz="0" w:space="0" w:color="auto"/>
          </w:divBdr>
        </w:div>
        <w:div w:id="1696731773">
          <w:marLeft w:val="0"/>
          <w:marRight w:val="0"/>
          <w:marTop w:val="0"/>
          <w:marBottom w:val="0"/>
          <w:divBdr>
            <w:top w:val="none" w:sz="0" w:space="0" w:color="auto"/>
            <w:left w:val="none" w:sz="0" w:space="0" w:color="auto"/>
            <w:bottom w:val="none" w:sz="0" w:space="0" w:color="auto"/>
            <w:right w:val="none" w:sz="0" w:space="0" w:color="auto"/>
          </w:divBdr>
        </w:div>
        <w:div w:id="1071929904">
          <w:marLeft w:val="0"/>
          <w:marRight w:val="0"/>
          <w:marTop w:val="0"/>
          <w:marBottom w:val="0"/>
          <w:divBdr>
            <w:top w:val="none" w:sz="0" w:space="0" w:color="auto"/>
            <w:left w:val="none" w:sz="0" w:space="0" w:color="auto"/>
            <w:bottom w:val="none" w:sz="0" w:space="0" w:color="auto"/>
            <w:right w:val="none" w:sz="0" w:space="0" w:color="auto"/>
          </w:divBdr>
        </w:div>
        <w:div w:id="2037348707">
          <w:marLeft w:val="0"/>
          <w:marRight w:val="0"/>
          <w:marTop w:val="0"/>
          <w:marBottom w:val="0"/>
          <w:divBdr>
            <w:top w:val="none" w:sz="0" w:space="0" w:color="auto"/>
            <w:left w:val="none" w:sz="0" w:space="0" w:color="auto"/>
            <w:bottom w:val="none" w:sz="0" w:space="0" w:color="auto"/>
            <w:right w:val="none" w:sz="0" w:space="0" w:color="auto"/>
          </w:divBdr>
        </w:div>
        <w:div w:id="34429517">
          <w:marLeft w:val="0"/>
          <w:marRight w:val="0"/>
          <w:marTop w:val="0"/>
          <w:marBottom w:val="0"/>
          <w:divBdr>
            <w:top w:val="none" w:sz="0" w:space="0" w:color="auto"/>
            <w:left w:val="none" w:sz="0" w:space="0" w:color="auto"/>
            <w:bottom w:val="none" w:sz="0" w:space="0" w:color="auto"/>
            <w:right w:val="none" w:sz="0" w:space="0" w:color="auto"/>
          </w:divBdr>
        </w:div>
        <w:div w:id="1338465160">
          <w:marLeft w:val="0"/>
          <w:marRight w:val="0"/>
          <w:marTop w:val="0"/>
          <w:marBottom w:val="0"/>
          <w:divBdr>
            <w:top w:val="none" w:sz="0" w:space="0" w:color="auto"/>
            <w:left w:val="none" w:sz="0" w:space="0" w:color="auto"/>
            <w:bottom w:val="none" w:sz="0" w:space="0" w:color="auto"/>
            <w:right w:val="none" w:sz="0" w:space="0" w:color="auto"/>
          </w:divBdr>
        </w:div>
        <w:div w:id="440690091">
          <w:marLeft w:val="0"/>
          <w:marRight w:val="0"/>
          <w:marTop w:val="0"/>
          <w:marBottom w:val="0"/>
          <w:divBdr>
            <w:top w:val="none" w:sz="0" w:space="0" w:color="auto"/>
            <w:left w:val="none" w:sz="0" w:space="0" w:color="auto"/>
            <w:bottom w:val="none" w:sz="0" w:space="0" w:color="auto"/>
            <w:right w:val="none" w:sz="0" w:space="0" w:color="auto"/>
          </w:divBdr>
        </w:div>
        <w:div w:id="1859079146">
          <w:marLeft w:val="0"/>
          <w:marRight w:val="0"/>
          <w:marTop w:val="0"/>
          <w:marBottom w:val="0"/>
          <w:divBdr>
            <w:top w:val="none" w:sz="0" w:space="0" w:color="auto"/>
            <w:left w:val="none" w:sz="0" w:space="0" w:color="auto"/>
            <w:bottom w:val="none" w:sz="0" w:space="0" w:color="auto"/>
            <w:right w:val="none" w:sz="0" w:space="0" w:color="auto"/>
          </w:divBdr>
        </w:div>
        <w:div w:id="2054571266">
          <w:marLeft w:val="0"/>
          <w:marRight w:val="0"/>
          <w:marTop w:val="0"/>
          <w:marBottom w:val="0"/>
          <w:divBdr>
            <w:top w:val="none" w:sz="0" w:space="0" w:color="auto"/>
            <w:left w:val="none" w:sz="0" w:space="0" w:color="auto"/>
            <w:bottom w:val="none" w:sz="0" w:space="0" w:color="auto"/>
            <w:right w:val="none" w:sz="0" w:space="0" w:color="auto"/>
          </w:divBdr>
        </w:div>
        <w:div w:id="2132238031">
          <w:marLeft w:val="0"/>
          <w:marRight w:val="0"/>
          <w:marTop w:val="0"/>
          <w:marBottom w:val="0"/>
          <w:divBdr>
            <w:top w:val="none" w:sz="0" w:space="0" w:color="auto"/>
            <w:left w:val="none" w:sz="0" w:space="0" w:color="auto"/>
            <w:bottom w:val="none" w:sz="0" w:space="0" w:color="auto"/>
            <w:right w:val="none" w:sz="0" w:space="0" w:color="auto"/>
          </w:divBdr>
        </w:div>
        <w:div w:id="1060636437">
          <w:marLeft w:val="0"/>
          <w:marRight w:val="0"/>
          <w:marTop w:val="0"/>
          <w:marBottom w:val="0"/>
          <w:divBdr>
            <w:top w:val="none" w:sz="0" w:space="0" w:color="auto"/>
            <w:left w:val="none" w:sz="0" w:space="0" w:color="auto"/>
            <w:bottom w:val="none" w:sz="0" w:space="0" w:color="auto"/>
            <w:right w:val="none" w:sz="0" w:space="0" w:color="auto"/>
          </w:divBdr>
        </w:div>
        <w:div w:id="1111244188">
          <w:marLeft w:val="0"/>
          <w:marRight w:val="0"/>
          <w:marTop w:val="0"/>
          <w:marBottom w:val="0"/>
          <w:divBdr>
            <w:top w:val="none" w:sz="0" w:space="0" w:color="auto"/>
            <w:left w:val="none" w:sz="0" w:space="0" w:color="auto"/>
            <w:bottom w:val="none" w:sz="0" w:space="0" w:color="auto"/>
            <w:right w:val="none" w:sz="0" w:space="0" w:color="auto"/>
          </w:divBdr>
        </w:div>
        <w:div w:id="548956324">
          <w:marLeft w:val="0"/>
          <w:marRight w:val="0"/>
          <w:marTop w:val="0"/>
          <w:marBottom w:val="0"/>
          <w:divBdr>
            <w:top w:val="none" w:sz="0" w:space="0" w:color="auto"/>
            <w:left w:val="none" w:sz="0" w:space="0" w:color="auto"/>
            <w:bottom w:val="none" w:sz="0" w:space="0" w:color="auto"/>
            <w:right w:val="none" w:sz="0" w:space="0" w:color="auto"/>
          </w:divBdr>
        </w:div>
        <w:div w:id="2025402247">
          <w:marLeft w:val="0"/>
          <w:marRight w:val="0"/>
          <w:marTop w:val="0"/>
          <w:marBottom w:val="0"/>
          <w:divBdr>
            <w:top w:val="none" w:sz="0" w:space="0" w:color="auto"/>
            <w:left w:val="none" w:sz="0" w:space="0" w:color="auto"/>
            <w:bottom w:val="none" w:sz="0" w:space="0" w:color="auto"/>
            <w:right w:val="none" w:sz="0" w:space="0" w:color="auto"/>
          </w:divBdr>
        </w:div>
        <w:div w:id="1571891478">
          <w:marLeft w:val="0"/>
          <w:marRight w:val="0"/>
          <w:marTop w:val="0"/>
          <w:marBottom w:val="0"/>
          <w:divBdr>
            <w:top w:val="none" w:sz="0" w:space="0" w:color="auto"/>
            <w:left w:val="none" w:sz="0" w:space="0" w:color="auto"/>
            <w:bottom w:val="none" w:sz="0" w:space="0" w:color="auto"/>
            <w:right w:val="none" w:sz="0" w:space="0" w:color="auto"/>
          </w:divBdr>
        </w:div>
        <w:div w:id="1256936256">
          <w:marLeft w:val="0"/>
          <w:marRight w:val="0"/>
          <w:marTop w:val="0"/>
          <w:marBottom w:val="0"/>
          <w:divBdr>
            <w:top w:val="none" w:sz="0" w:space="0" w:color="auto"/>
            <w:left w:val="none" w:sz="0" w:space="0" w:color="auto"/>
            <w:bottom w:val="none" w:sz="0" w:space="0" w:color="auto"/>
            <w:right w:val="none" w:sz="0" w:space="0" w:color="auto"/>
          </w:divBdr>
        </w:div>
        <w:div w:id="1538394507">
          <w:marLeft w:val="0"/>
          <w:marRight w:val="0"/>
          <w:marTop w:val="0"/>
          <w:marBottom w:val="0"/>
          <w:divBdr>
            <w:top w:val="none" w:sz="0" w:space="0" w:color="auto"/>
            <w:left w:val="none" w:sz="0" w:space="0" w:color="auto"/>
            <w:bottom w:val="none" w:sz="0" w:space="0" w:color="auto"/>
            <w:right w:val="none" w:sz="0" w:space="0" w:color="auto"/>
          </w:divBdr>
        </w:div>
        <w:div w:id="747070275">
          <w:marLeft w:val="0"/>
          <w:marRight w:val="0"/>
          <w:marTop w:val="0"/>
          <w:marBottom w:val="0"/>
          <w:divBdr>
            <w:top w:val="none" w:sz="0" w:space="0" w:color="auto"/>
            <w:left w:val="none" w:sz="0" w:space="0" w:color="auto"/>
            <w:bottom w:val="none" w:sz="0" w:space="0" w:color="auto"/>
            <w:right w:val="none" w:sz="0" w:space="0" w:color="auto"/>
          </w:divBdr>
        </w:div>
        <w:div w:id="835920998">
          <w:marLeft w:val="0"/>
          <w:marRight w:val="0"/>
          <w:marTop w:val="0"/>
          <w:marBottom w:val="0"/>
          <w:divBdr>
            <w:top w:val="none" w:sz="0" w:space="0" w:color="auto"/>
            <w:left w:val="none" w:sz="0" w:space="0" w:color="auto"/>
            <w:bottom w:val="none" w:sz="0" w:space="0" w:color="auto"/>
            <w:right w:val="none" w:sz="0" w:space="0" w:color="auto"/>
          </w:divBdr>
        </w:div>
        <w:div w:id="1847984869">
          <w:marLeft w:val="0"/>
          <w:marRight w:val="0"/>
          <w:marTop w:val="0"/>
          <w:marBottom w:val="0"/>
          <w:divBdr>
            <w:top w:val="none" w:sz="0" w:space="0" w:color="auto"/>
            <w:left w:val="none" w:sz="0" w:space="0" w:color="auto"/>
            <w:bottom w:val="none" w:sz="0" w:space="0" w:color="auto"/>
            <w:right w:val="none" w:sz="0" w:space="0" w:color="auto"/>
          </w:divBdr>
        </w:div>
        <w:div w:id="26224153">
          <w:marLeft w:val="0"/>
          <w:marRight w:val="0"/>
          <w:marTop w:val="0"/>
          <w:marBottom w:val="0"/>
          <w:divBdr>
            <w:top w:val="none" w:sz="0" w:space="0" w:color="auto"/>
            <w:left w:val="none" w:sz="0" w:space="0" w:color="auto"/>
            <w:bottom w:val="none" w:sz="0" w:space="0" w:color="auto"/>
            <w:right w:val="none" w:sz="0" w:space="0" w:color="auto"/>
          </w:divBdr>
        </w:div>
        <w:div w:id="706179394">
          <w:marLeft w:val="0"/>
          <w:marRight w:val="0"/>
          <w:marTop w:val="0"/>
          <w:marBottom w:val="0"/>
          <w:divBdr>
            <w:top w:val="none" w:sz="0" w:space="0" w:color="auto"/>
            <w:left w:val="none" w:sz="0" w:space="0" w:color="auto"/>
            <w:bottom w:val="none" w:sz="0" w:space="0" w:color="auto"/>
            <w:right w:val="none" w:sz="0" w:space="0" w:color="auto"/>
          </w:divBdr>
        </w:div>
        <w:div w:id="212426600">
          <w:marLeft w:val="0"/>
          <w:marRight w:val="0"/>
          <w:marTop w:val="0"/>
          <w:marBottom w:val="0"/>
          <w:divBdr>
            <w:top w:val="none" w:sz="0" w:space="0" w:color="auto"/>
            <w:left w:val="none" w:sz="0" w:space="0" w:color="auto"/>
            <w:bottom w:val="none" w:sz="0" w:space="0" w:color="auto"/>
            <w:right w:val="none" w:sz="0" w:space="0" w:color="auto"/>
          </w:divBdr>
        </w:div>
        <w:div w:id="1108624756">
          <w:marLeft w:val="0"/>
          <w:marRight w:val="0"/>
          <w:marTop w:val="0"/>
          <w:marBottom w:val="0"/>
          <w:divBdr>
            <w:top w:val="none" w:sz="0" w:space="0" w:color="auto"/>
            <w:left w:val="none" w:sz="0" w:space="0" w:color="auto"/>
            <w:bottom w:val="none" w:sz="0" w:space="0" w:color="auto"/>
            <w:right w:val="none" w:sz="0" w:space="0" w:color="auto"/>
          </w:divBdr>
        </w:div>
        <w:div w:id="445465063">
          <w:marLeft w:val="0"/>
          <w:marRight w:val="0"/>
          <w:marTop w:val="0"/>
          <w:marBottom w:val="0"/>
          <w:divBdr>
            <w:top w:val="none" w:sz="0" w:space="0" w:color="auto"/>
            <w:left w:val="none" w:sz="0" w:space="0" w:color="auto"/>
            <w:bottom w:val="none" w:sz="0" w:space="0" w:color="auto"/>
            <w:right w:val="none" w:sz="0" w:space="0" w:color="auto"/>
          </w:divBdr>
        </w:div>
        <w:div w:id="1478063179">
          <w:marLeft w:val="0"/>
          <w:marRight w:val="0"/>
          <w:marTop w:val="0"/>
          <w:marBottom w:val="0"/>
          <w:divBdr>
            <w:top w:val="none" w:sz="0" w:space="0" w:color="auto"/>
            <w:left w:val="none" w:sz="0" w:space="0" w:color="auto"/>
            <w:bottom w:val="none" w:sz="0" w:space="0" w:color="auto"/>
            <w:right w:val="none" w:sz="0" w:space="0" w:color="auto"/>
          </w:divBdr>
        </w:div>
        <w:div w:id="281159739">
          <w:marLeft w:val="0"/>
          <w:marRight w:val="0"/>
          <w:marTop w:val="0"/>
          <w:marBottom w:val="0"/>
          <w:divBdr>
            <w:top w:val="none" w:sz="0" w:space="0" w:color="auto"/>
            <w:left w:val="none" w:sz="0" w:space="0" w:color="auto"/>
            <w:bottom w:val="none" w:sz="0" w:space="0" w:color="auto"/>
            <w:right w:val="none" w:sz="0" w:space="0" w:color="auto"/>
          </w:divBdr>
        </w:div>
        <w:div w:id="1928225827">
          <w:marLeft w:val="0"/>
          <w:marRight w:val="0"/>
          <w:marTop w:val="0"/>
          <w:marBottom w:val="0"/>
          <w:divBdr>
            <w:top w:val="none" w:sz="0" w:space="0" w:color="auto"/>
            <w:left w:val="none" w:sz="0" w:space="0" w:color="auto"/>
            <w:bottom w:val="none" w:sz="0" w:space="0" w:color="auto"/>
            <w:right w:val="none" w:sz="0" w:space="0" w:color="auto"/>
          </w:divBdr>
        </w:div>
        <w:div w:id="732507651">
          <w:marLeft w:val="0"/>
          <w:marRight w:val="0"/>
          <w:marTop w:val="0"/>
          <w:marBottom w:val="0"/>
          <w:divBdr>
            <w:top w:val="none" w:sz="0" w:space="0" w:color="auto"/>
            <w:left w:val="none" w:sz="0" w:space="0" w:color="auto"/>
            <w:bottom w:val="none" w:sz="0" w:space="0" w:color="auto"/>
            <w:right w:val="none" w:sz="0" w:space="0" w:color="auto"/>
          </w:divBdr>
        </w:div>
        <w:div w:id="955991211">
          <w:marLeft w:val="0"/>
          <w:marRight w:val="0"/>
          <w:marTop w:val="0"/>
          <w:marBottom w:val="0"/>
          <w:divBdr>
            <w:top w:val="none" w:sz="0" w:space="0" w:color="auto"/>
            <w:left w:val="none" w:sz="0" w:space="0" w:color="auto"/>
            <w:bottom w:val="none" w:sz="0" w:space="0" w:color="auto"/>
            <w:right w:val="none" w:sz="0" w:space="0" w:color="auto"/>
          </w:divBdr>
        </w:div>
        <w:div w:id="2136945433">
          <w:marLeft w:val="0"/>
          <w:marRight w:val="0"/>
          <w:marTop w:val="0"/>
          <w:marBottom w:val="0"/>
          <w:divBdr>
            <w:top w:val="none" w:sz="0" w:space="0" w:color="auto"/>
            <w:left w:val="none" w:sz="0" w:space="0" w:color="auto"/>
            <w:bottom w:val="none" w:sz="0" w:space="0" w:color="auto"/>
            <w:right w:val="none" w:sz="0" w:space="0" w:color="auto"/>
          </w:divBdr>
        </w:div>
        <w:div w:id="1704672825">
          <w:marLeft w:val="0"/>
          <w:marRight w:val="0"/>
          <w:marTop w:val="0"/>
          <w:marBottom w:val="0"/>
          <w:divBdr>
            <w:top w:val="none" w:sz="0" w:space="0" w:color="auto"/>
            <w:left w:val="none" w:sz="0" w:space="0" w:color="auto"/>
            <w:bottom w:val="none" w:sz="0" w:space="0" w:color="auto"/>
            <w:right w:val="none" w:sz="0" w:space="0" w:color="auto"/>
          </w:divBdr>
        </w:div>
        <w:div w:id="949625315">
          <w:marLeft w:val="0"/>
          <w:marRight w:val="0"/>
          <w:marTop w:val="0"/>
          <w:marBottom w:val="0"/>
          <w:divBdr>
            <w:top w:val="none" w:sz="0" w:space="0" w:color="auto"/>
            <w:left w:val="none" w:sz="0" w:space="0" w:color="auto"/>
            <w:bottom w:val="none" w:sz="0" w:space="0" w:color="auto"/>
            <w:right w:val="none" w:sz="0" w:space="0" w:color="auto"/>
          </w:divBdr>
        </w:div>
        <w:div w:id="208418800">
          <w:marLeft w:val="0"/>
          <w:marRight w:val="0"/>
          <w:marTop w:val="0"/>
          <w:marBottom w:val="0"/>
          <w:divBdr>
            <w:top w:val="none" w:sz="0" w:space="0" w:color="auto"/>
            <w:left w:val="none" w:sz="0" w:space="0" w:color="auto"/>
            <w:bottom w:val="none" w:sz="0" w:space="0" w:color="auto"/>
            <w:right w:val="none" w:sz="0" w:space="0" w:color="auto"/>
          </w:divBdr>
        </w:div>
        <w:div w:id="170221483">
          <w:marLeft w:val="0"/>
          <w:marRight w:val="0"/>
          <w:marTop w:val="0"/>
          <w:marBottom w:val="0"/>
          <w:divBdr>
            <w:top w:val="none" w:sz="0" w:space="0" w:color="auto"/>
            <w:left w:val="none" w:sz="0" w:space="0" w:color="auto"/>
            <w:bottom w:val="none" w:sz="0" w:space="0" w:color="auto"/>
            <w:right w:val="none" w:sz="0" w:space="0" w:color="auto"/>
          </w:divBdr>
        </w:div>
        <w:div w:id="1241524281">
          <w:marLeft w:val="0"/>
          <w:marRight w:val="0"/>
          <w:marTop w:val="0"/>
          <w:marBottom w:val="0"/>
          <w:divBdr>
            <w:top w:val="none" w:sz="0" w:space="0" w:color="auto"/>
            <w:left w:val="none" w:sz="0" w:space="0" w:color="auto"/>
            <w:bottom w:val="none" w:sz="0" w:space="0" w:color="auto"/>
            <w:right w:val="none" w:sz="0" w:space="0" w:color="auto"/>
          </w:divBdr>
        </w:div>
        <w:div w:id="675428434">
          <w:marLeft w:val="0"/>
          <w:marRight w:val="0"/>
          <w:marTop w:val="0"/>
          <w:marBottom w:val="0"/>
          <w:divBdr>
            <w:top w:val="none" w:sz="0" w:space="0" w:color="auto"/>
            <w:left w:val="none" w:sz="0" w:space="0" w:color="auto"/>
            <w:bottom w:val="none" w:sz="0" w:space="0" w:color="auto"/>
            <w:right w:val="none" w:sz="0" w:space="0" w:color="auto"/>
          </w:divBdr>
        </w:div>
        <w:div w:id="921917880">
          <w:marLeft w:val="0"/>
          <w:marRight w:val="0"/>
          <w:marTop w:val="0"/>
          <w:marBottom w:val="0"/>
          <w:divBdr>
            <w:top w:val="none" w:sz="0" w:space="0" w:color="auto"/>
            <w:left w:val="none" w:sz="0" w:space="0" w:color="auto"/>
            <w:bottom w:val="none" w:sz="0" w:space="0" w:color="auto"/>
            <w:right w:val="none" w:sz="0" w:space="0" w:color="auto"/>
          </w:divBdr>
        </w:div>
        <w:div w:id="27146760">
          <w:marLeft w:val="0"/>
          <w:marRight w:val="0"/>
          <w:marTop w:val="0"/>
          <w:marBottom w:val="0"/>
          <w:divBdr>
            <w:top w:val="none" w:sz="0" w:space="0" w:color="auto"/>
            <w:left w:val="none" w:sz="0" w:space="0" w:color="auto"/>
            <w:bottom w:val="none" w:sz="0" w:space="0" w:color="auto"/>
            <w:right w:val="none" w:sz="0" w:space="0" w:color="auto"/>
          </w:divBdr>
        </w:div>
        <w:div w:id="1505166046">
          <w:marLeft w:val="0"/>
          <w:marRight w:val="0"/>
          <w:marTop w:val="0"/>
          <w:marBottom w:val="0"/>
          <w:divBdr>
            <w:top w:val="none" w:sz="0" w:space="0" w:color="auto"/>
            <w:left w:val="none" w:sz="0" w:space="0" w:color="auto"/>
            <w:bottom w:val="none" w:sz="0" w:space="0" w:color="auto"/>
            <w:right w:val="none" w:sz="0" w:space="0" w:color="auto"/>
          </w:divBdr>
        </w:div>
        <w:div w:id="156652500">
          <w:marLeft w:val="0"/>
          <w:marRight w:val="0"/>
          <w:marTop w:val="0"/>
          <w:marBottom w:val="0"/>
          <w:divBdr>
            <w:top w:val="none" w:sz="0" w:space="0" w:color="auto"/>
            <w:left w:val="none" w:sz="0" w:space="0" w:color="auto"/>
            <w:bottom w:val="none" w:sz="0" w:space="0" w:color="auto"/>
            <w:right w:val="none" w:sz="0" w:space="0" w:color="auto"/>
          </w:divBdr>
        </w:div>
        <w:div w:id="2065374444">
          <w:marLeft w:val="0"/>
          <w:marRight w:val="0"/>
          <w:marTop w:val="0"/>
          <w:marBottom w:val="0"/>
          <w:divBdr>
            <w:top w:val="none" w:sz="0" w:space="0" w:color="auto"/>
            <w:left w:val="none" w:sz="0" w:space="0" w:color="auto"/>
            <w:bottom w:val="none" w:sz="0" w:space="0" w:color="auto"/>
            <w:right w:val="none" w:sz="0" w:space="0" w:color="auto"/>
          </w:divBdr>
        </w:div>
        <w:div w:id="651829565">
          <w:marLeft w:val="0"/>
          <w:marRight w:val="0"/>
          <w:marTop w:val="0"/>
          <w:marBottom w:val="0"/>
          <w:divBdr>
            <w:top w:val="none" w:sz="0" w:space="0" w:color="auto"/>
            <w:left w:val="none" w:sz="0" w:space="0" w:color="auto"/>
            <w:bottom w:val="none" w:sz="0" w:space="0" w:color="auto"/>
            <w:right w:val="none" w:sz="0" w:space="0" w:color="auto"/>
          </w:divBdr>
        </w:div>
        <w:div w:id="995257222">
          <w:marLeft w:val="0"/>
          <w:marRight w:val="0"/>
          <w:marTop w:val="0"/>
          <w:marBottom w:val="0"/>
          <w:divBdr>
            <w:top w:val="none" w:sz="0" w:space="0" w:color="auto"/>
            <w:left w:val="none" w:sz="0" w:space="0" w:color="auto"/>
            <w:bottom w:val="none" w:sz="0" w:space="0" w:color="auto"/>
            <w:right w:val="none" w:sz="0" w:space="0" w:color="auto"/>
          </w:divBdr>
        </w:div>
        <w:div w:id="777527770">
          <w:marLeft w:val="0"/>
          <w:marRight w:val="0"/>
          <w:marTop w:val="0"/>
          <w:marBottom w:val="0"/>
          <w:divBdr>
            <w:top w:val="none" w:sz="0" w:space="0" w:color="auto"/>
            <w:left w:val="none" w:sz="0" w:space="0" w:color="auto"/>
            <w:bottom w:val="none" w:sz="0" w:space="0" w:color="auto"/>
            <w:right w:val="none" w:sz="0" w:space="0" w:color="auto"/>
          </w:divBdr>
        </w:div>
        <w:div w:id="1228496555">
          <w:marLeft w:val="0"/>
          <w:marRight w:val="0"/>
          <w:marTop w:val="0"/>
          <w:marBottom w:val="0"/>
          <w:divBdr>
            <w:top w:val="none" w:sz="0" w:space="0" w:color="auto"/>
            <w:left w:val="none" w:sz="0" w:space="0" w:color="auto"/>
            <w:bottom w:val="none" w:sz="0" w:space="0" w:color="auto"/>
            <w:right w:val="none" w:sz="0" w:space="0" w:color="auto"/>
          </w:divBdr>
        </w:div>
        <w:div w:id="1713577215">
          <w:marLeft w:val="0"/>
          <w:marRight w:val="0"/>
          <w:marTop w:val="0"/>
          <w:marBottom w:val="0"/>
          <w:divBdr>
            <w:top w:val="none" w:sz="0" w:space="0" w:color="auto"/>
            <w:left w:val="none" w:sz="0" w:space="0" w:color="auto"/>
            <w:bottom w:val="none" w:sz="0" w:space="0" w:color="auto"/>
            <w:right w:val="none" w:sz="0" w:space="0" w:color="auto"/>
          </w:divBdr>
        </w:div>
        <w:div w:id="2013988909">
          <w:marLeft w:val="0"/>
          <w:marRight w:val="0"/>
          <w:marTop w:val="0"/>
          <w:marBottom w:val="0"/>
          <w:divBdr>
            <w:top w:val="none" w:sz="0" w:space="0" w:color="auto"/>
            <w:left w:val="none" w:sz="0" w:space="0" w:color="auto"/>
            <w:bottom w:val="none" w:sz="0" w:space="0" w:color="auto"/>
            <w:right w:val="none" w:sz="0" w:space="0" w:color="auto"/>
          </w:divBdr>
        </w:div>
        <w:div w:id="891698940">
          <w:marLeft w:val="0"/>
          <w:marRight w:val="0"/>
          <w:marTop w:val="0"/>
          <w:marBottom w:val="0"/>
          <w:divBdr>
            <w:top w:val="none" w:sz="0" w:space="0" w:color="auto"/>
            <w:left w:val="none" w:sz="0" w:space="0" w:color="auto"/>
            <w:bottom w:val="none" w:sz="0" w:space="0" w:color="auto"/>
            <w:right w:val="none" w:sz="0" w:space="0" w:color="auto"/>
          </w:divBdr>
        </w:div>
        <w:div w:id="1606499951">
          <w:marLeft w:val="0"/>
          <w:marRight w:val="0"/>
          <w:marTop w:val="0"/>
          <w:marBottom w:val="0"/>
          <w:divBdr>
            <w:top w:val="none" w:sz="0" w:space="0" w:color="auto"/>
            <w:left w:val="none" w:sz="0" w:space="0" w:color="auto"/>
            <w:bottom w:val="none" w:sz="0" w:space="0" w:color="auto"/>
            <w:right w:val="none" w:sz="0" w:space="0" w:color="auto"/>
          </w:divBdr>
        </w:div>
        <w:div w:id="1127358040">
          <w:marLeft w:val="0"/>
          <w:marRight w:val="0"/>
          <w:marTop w:val="0"/>
          <w:marBottom w:val="0"/>
          <w:divBdr>
            <w:top w:val="none" w:sz="0" w:space="0" w:color="auto"/>
            <w:left w:val="none" w:sz="0" w:space="0" w:color="auto"/>
            <w:bottom w:val="none" w:sz="0" w:space="0" w:color="auto"/>
            <w:right w:val="none" w:sz="0" w:space="0" w:color="auto"/>
          </w:divBdr>
        </w:div>
        <w:div w:id="940335530">
          <w:marLeft w:val="0"/>
          <w:marRight w:val="0"/>
          <w:marTop w:val="0"/>
          <w:marBottom w:val="0"/>
          <w:divBdr>
            <w:top w:val="none" w:sz="0" w:space="0" w:color="auto"/>
            <w:left w:val="none" w:sz="0" w:space="0" w:color="auto"/>
            <w:bottom w:val="none" w:sz="0" w:space="0" w:color="auto"/>
            <w:right w:val="none" w:sz="0" w:space="0" w:color="auto"/>
          </w:divBdr>
        </w:div>
        <w:div w:id="1376465004">
          <w:marLeft w:val="0"/>
          <w:marRight w:val="0"/>
          <w:marTop w:val="0"/>
          <w:marBottom w:val="0"/>
          <w:divBdr>
            <w:top w:val="none" w:sz="0" w:space="0" w:color="auto"/>
            <w:left w:val="none" w:sz="0" w:space="0" w:color="auto"/>
            <w:bottom w:val="none" w:sz="0" w:space="0" w:color="auto"/>
            <w:right w:val="none" w:sz="0" w:space="0" w:color="auto"/>
          </w:divBdr>
        </w:div>
        <w:div w:id="1056054471">
          <w:marLeft w:val="0"/>
          <w:marRight w:val="0"/>
          <w:marTop w:val="0"/>
          <w:marBottom w:val="0"/>
          <w:divBdr>
            <w:top w:val="none" w:sz="0" w:space="0" w:color="auto"/>
            <w:left w:val="none" w:sz="0" w:space="0" w:color="auto"/>
            <w:bottom w:val="none" w:sz="0" w:space="0" w:color="auto"/>
            <w:right w:val="none" w:sz="0" w:space="0" w:color="auto"/>
          </w:divBdr>
        </w:div>
        <w:div w:id="96605559">
          <w:marLeft w:val="0"/>
          <w:marRight w:val="0"/>
          <w:marTop w:val="0"/>
          <w:marBottom w:val="0"/>
          <w:divBdr>
            <w:top w:val="none" w:sz="0" w:space="0" w:color="auto"/>
            <w:left w:val="none" w:sz="0" w:space="0" w:color="auto"/>
            <w:bottom w:val="none" w:sz="0" w:space="0" w:color="auto"/>
            <w:right w:val="none" w:sz="0" w:space="0" w:color="auto"/>
          </w:divBdr>
        </w:div>
        <w:div w:id="271517959">
          <w:marLeft w:val="0"/>
          <w:marRight w:val="0"/>
          <w:marTop w:val="0"/>
          <w:marBottom w:val="0"/>
          <w:divBdr>
            <w:top w:val="none" w:sz="0" w:space="0" w:color="auto"/>
            <w:left w:val="none" w:sz="0" w:space="0" w:color="auto"/>
            <w:bottom w:val="none" w:sz="0" w:space="0" w:color="auto"/>
            <w:right w:val="none" w:sz="0" w:space="0" w:color="auto"/>
          </w:divBdr>
        </w:div>
        <w:div w:id="1671985787">
          <w:marLeft w:val="0"/>
          <w:marRight w:val="0"/>
          <w:marTop w:val="0"/>
          <w:marBottom w:val="0"/>
          <w:divBdr>
            <w:top w:val="none" w:sz="0" w:space="0" w:color="auto"/>
            <w:left w:val="none" w:sz="0" w:space="0" w:color="auto"/>
            <w:bottom w:val="none" w:sz="0" w:space="0" w:color="auto"/>
            <w:right w:val="none" w:sz="0" w:space="0" w:color="auto"/>
          </w:divBdr>
        </w:div>
        <w:div w:id="2033066486">
          <w:marLeft w:val="0"/>
          <w:marRight w:val="0"/>
          <w:marTop w:val="0"/>
          <w:marBottom w:val="0"/>
          <w:divBdr>
            <w:top w:val="none" w:sz="0" w:space="0" w:color="auto"/>
            <w:left w:val="none" w:sz="0" w:space="0" w:color="auto"/>
            <w:bottom w:val="none" w:sz="0" w:space="0" w:color="auto"/>
            <w:right w:val="none" w:sz="0" w:space="0" w:color="auto"/>
          </w:divBdr>
        </w:div>
        <w:div w:id="1665469720">
          <w:marLeft w:val="0"/>
          <w:marRight w:val="0"/>
          <w:marTop w:val="0"/>
          <w:marBottom w:val="0"/>
          <w:divBdr>
            <w:top w:val="none" w:sz="0" w:space="0" w:color="auto"/>
            <w:left w:val="none" w:sz="0" w:space="0" w:color="auto"/>
            <w:bottom w:val="none" w:sz="0" w:space="0" w:color="auto"/>
            <w:right w:val="none" w:sz="0" w:space="0" w:color="auto"/>
          </w:divBdr>
        </w:div>
        <w:div w:id="1482771402">
          <w:marLeft w:val="0"/>
          <w:marRight w:val="0"/>
          <w:marTop w:val="0"/>
          <w:marBottom w:val="0"/>
          <w:divBdr>
            <w:top w:val="none" w:sz="0" w:space="0" w:color="auto"/>
            <w:left w:val="none" w:sz="0" w:space="0" w:color="auto"/>
            <w:bottom w:val="none" w:sz="0" w:space="0" w:color="auto"/>
            <w:right w:val="none" w:sz="0" w:space="0" w:color="auto"/>
          </w:divBdr>
        </w:div>
        <w:div w:id="798494336">
          <w:marLeft w:val="0"/>
          <w:marRight w:val="0"/>
          <w:marTop w:val="0"/>
          <w:marBottom w:val="0"/>
          <w:divBdr>
            <w:top w:val="none" w:sz="0" w:space="0" w:color="auto"/>
            <w:left w:val="none" w:sz="0" w:space="0" w:color="auto"/>
            <w:bottom w:val="none" w:sz="0" w:space="0" w:color="auto"/>
            <w:right w:val="none" w:sz="0" w:space="0" w:color="auto"/>
          </w:divBdr>
        </w:div>
        <w:div w:id="1625649559">
          <w:marLeft w:val="0"/>
          <w:marRight w:val="0"/>
          <w:marTop w:val="0"/>
          <w:marBottom w:val="0"/>
          <w:divBdr>
            <w:top w:val="none" w:sz="0" w:space="0" w:color="auto"/>
            <w:left w:val="none" w:sz="0" w:space="0" w:color="auto"/>
            <w:bottom w:val="none" w:sz="0" w:space="0" w:color="auto"/>
            <w:right w:val="none" w:sz="0" w:space="0" w:color="auto"/>
          </w:divBdr>
        </w:div>
        <w:div w:id="1184631380">
          <w:marLeft w:val="0"/>
          <w:marRight w:val="0"/>
          <w:marTop w:val="0"/>
          <w:marBottom w:val="0"/>
          <w:divBdr>
            <w:top w:val="none" w:sz="0" w:space="0" w:color="auto"/>
            <w:left w:val="none" w:sz="0" w:space="0" w:color="auto"/>
            <w:bottom w:val="none" w:sz="0" w:space="0" w:color="auto"/>
            <w:right w:val="none" w:sz="0" w:space="0" w:color="auto"/>
          </w:divBdr>
        </w:div>
        <w:div w:id="1100485614">
          <w:marLeft w:val="0"/>
          <w:marRight w:val="0"/>
          <w:marTop w:val="0"/>
          <w:marBottom w:val="0"/>
          <w:divBdr>
            <w:top w:val="none" w:sz="0" w:space="0" w:color="auto"/>
            <w:left w:val="none" w:sz="0" w:space="0" w:color="auto"/>
            <w:bottom w:val="none" w:sz="0" w:space="0" w:color="auto"/>
            <w:right w:val="none" w:sz="0" w:space="0" w:color="auto"/>
          </w:divBdr>
        </w:div>
        <w:div w:id="497615033">
          <w:marLeft w:val="0"/>
          <w:marRight w:val="0"/>
          <w:marTop w:val="0"/>
          <w:marBottom w:val="0"/>
          <w:divBdr>
            <w:top w:val="none" w:sz="0" w:space="0" w:color="auto"/>
            <w:left w:val="none" w:sz="0" w:space="0" w:color="auto"/>
            <w:bottom w:val="none" w:sz="0" w:space="0" w:color="auto"/>
            <w:right w:val="none" w:sz="0" w:space="0" w:color="auto"/>
          </w:divBdr>
        </w:div>
        <w:div w:id="1287855706">
          <w:marLeft w:val="0"/>
          <w:marRight w:val="0"/>
          <w:marTop w:val="0"/>
          <w:marBottom w:val="0"/>
          <w:divBdr>
            <w:top w:val="none" w:sz="0" w:space="0" w:color="auto"/>
            <w:left w:val="none" w:sz="0" w:space="0" w:color="auto"/>
            <w:bottom w:val="none" w:sz="0" w:space="0" w:color="auto"/>
            <w:right w:val="none" w:sz="0" w:space="0" w:color="auto"/>
          </w:divBdr>
        </w:div>
        <w:div w:id="2001882673">
          <w:marLeft w:val="0"/>
          <w:marRight w:val="0"/>
          <w:marTop w:val="0"/>
          <w:marBottom w:val="0"/>
          <w:divBdr>
            <w:top w:val="none" w:sz="0" w:space="0" w:color="auto"/>
            <w:left w:val="none" w:sz="0" w:space="0" w:color="auto"/>
            <w:bottom w:val="none" w:sz="0" w:space="0" w:color="auto"/>
            <w:right w:val="none" w:sz="0" w:space="0" w:color="auto"/>
          </w:divBdr>
        </w:div>
        <w:div w:id="1569536724">
          <w:marLeft w:val="0"/>
          <w:marRight w:val="0"/>
          <w:marTop w:val="0"/>
          <w:marBottom w:val="0"/>
          <w:divBdr>
            <w:top w:val="none" w:sz="0" w:space="0" w:color="auto"/>
            <w:left w:val="none" w:sz="0" w:space="0" w:color="auto"/>
            <w:bottom w:val="none" w:sz="0" w:space="0" w:color="auto"/>
            <w:right w:val="none" w:sz="0" w:space="0" w:color="auto"/>
          </w:divBdr>
        </w:div>
        <w:div w:id="16911758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6" Type="http://schemas.openxmlformats.org/officeDocument/2006/relationships/hyperlink" Target="http://www.nber.org/papers/w14599.pdf" TargetMode="External"/><Relationship Id="rId21" Type="http://schemas.openxmlformats.org/officeDocument/2006/relationships/hyperlink" Target="http://www.nationalaffairs.com/publications/detail/a-jobs-agenda-for-the-right" TargetMode="External"/><Relationship Id="rId42" Type="http://schemas.openxmlformats.org/officeDocument/2006/relationships/hyperlink" Target="http://scholar.harvard.edu/files/fryer/files/092011_incentives_fryer_allen_paper2.pdf" TargetMode="External"/><Relationship Id="rId47" Type="http://schemas.openxmlformats.org/officeDocument/2006/relationships/hyperlink" Target="http://www.bls.gov/emp/ep_chart_001.htm" TargetMode="External"/><Relationship Id="rId63" Type="http://schemas.openxmlformats.org/officeDocument/2006/relationships/hyperlink" Target="http://www.jstor.org/stable/40344406" TargetMode="External"/><Relationship Id="rId68" Type="http://schemas.openxmlformats.org/officeDocument/2006/relationships/hyperlink" Target="http://www.mitpressjournals.org/doi/pdf/10.1162/003465398557384" TargetMode="External"/><Relationship Id="rId2" Type="http://schemas.openxmlformats.org/officeDocument/2006/relationships/hyperlink" Target="http://books.google.com/books/about/Unequal_Chances.html?id=WcMGQ7eAnIoC" TargetMode="External"/><Relationship Id="rId16" Type="http://schemas.openxmlformats.org/officeDocument/2006/relationships/hyperlink" Target="http://www.nber.org/papers/w9683.pdf" TargetMode="External"/><Relationship Id="rId29" Type="http://schemas.openxmlformats.org/officeDocument/2006/relationships/hyperlink" Target="http://books.google.com/books?id=LYz68dnuGocC&amp;pg=PA153&amp;lpg=PA153&amp;dq=reforming+EITC&amp;source=bl&amp;ots=XpYIIe5Dy5&amp;sig=X2BPQmDIPlg-aqclHWvGQozgiMc&amp;hl=en&amp;sa=X&amp;ei=qNoMU9_XO6ixsQSxs4DgDw&amp;ved=0CC0Q6AEwATgK" TargetMode="External"/><Relationship Id="rId11" Type="http://schemas.openxmlformats.org/officeDocument/2006/relationships/hyperlink" Target="http://www.jstor.org/stable/25058784" TargetMode="External"/><Relationship Id="rId24" Type="http://schemas.openxmlformats.org/officeDocument/2006/relationships/hyperlink" Target="http://www.nber.org/chapters/c10261.pdf" TargetMode="External"/><Relationship Id="rId32" Type="http://schemas.openxmlformats.org/officeDocument/2006/relationships/hyperlink" Target="https://www.russellsage.org/publications/making-work-pay" TargetMode="External"/><Relationship Id="rId37" Type="http://schemas.openxmlformats.org/officeDocument/2006/relationships/hyperlink" Target="http://nces.ed.gov/fastfacts/display.asp?id=16" TargetMode="External"/><Relationship Id="rId40" Type="http://schemas.openxmlformats.org/officeDocument/2006/relationships/hyperlink" Target="http://www.sciencedirect.com/science/article/pii/S0272775711000975" TargetMode="External"/><Relationship Id="rId45" Type="http://schemas.openxmlformats.org/officeDocument/2006/relationships/hyperlink" Target="http://www.cbo.gov/sites/default/files/cbofiles/attachments/44448_PellGrants_9-5-13.pdf" TargetMode="External"/><Relationship Id="rId53" Type="http://schemas.openxmlformats.org/officeDocument/2006/relationships/hyperlink" Target="http://www.brookings.edu/blogs/social-mobility-memos/posts/2014/01/21-3-policies-to-close-family-formation-class-divide-sawhill" TargetMode="External"/><Relationship Id="rId58" Type="http://schemas.openxmlformats.org/officeDocument/2006/relationships/hyperlink" Target="http://www.sciencedirect.com/science/article/pii/S0047272799000080" TargetMode="External"/><Relationship Id="rId66" Type="http://schemas.openxmlformats.org/officeDocument/2006/relationships/hyperlink" Target="http://www.nber.org/papers/w17678" TargetMode="External"/><Relationship Id="rId5" Type="http://schemas.openxmlformats.org/officeDocument/2006/relationships/hyperlink" Target="http://www.census.gov/prod/2011pubs/acsbr10-17.pdf" TargetMode="External"/><Relationship Id="rId61" Type="http://schemas.openxmlformats.org/officeDocument/2006/relationships/hyperlink" Target="http://www.census.gov/prod/2013pubs/p70-135.pdf" TargetMode="External"/><Relationship Id="rId19" Type="http://schemas.openxmlformats.org/officeDocument/2006/relationships/hyperlink" Target="http://stateofworkingamerica.org/fact-sheets/poverty/" TargetMode="External"/><Relationship Id="rId14" Type="http://schemas.openxmlformats.org/officeDocument/2006/relationships/hyperlink" Target="http://www.aei.org/files/2014/03/19/-fostering-upward-economic-mobility-in-the-united-states_165153222749.pdf" TargetMode="External"/><Relationship Id="rId22" Type="http://schemas.openxmlformats.org/officeDocument/2006/relationships/hyperlink" Target="http://www.aei.org/files/2014/01/16/-mathurinequality-testimony0116_130314932539.pdf" TargetMode="External"/><Relationship Id="rId27" Type="http://schemas.openxmlformats.org/officeDocument/2006/relationships/hyperlink" Target="http://www.ncbi.nlm.nih.gov/pmc/articles/PMC3208322/" TargetMode="External"/><Relationship Id="rId30" Type="http://schemas.openxmlformats.org/officeDocument/2006/relationships/hyperlink" Target="http://www.nber.org/chapters/c11973.pdf" TargetMode="External"/><Relationship Id="rId35" Type="http://schemas.openxmlformats.org/officeDocument/2006/relationships/hyperlink" Target="http://nces.ed.gov/pubs2012/2012006.pdf" TargetMode="External"/><Relationship Id="rId43" Type="http://schemas.openxmlformats.org/officeDocument/2006/relationships/hyperlink" Target="http://www.nber.org/papers/w12227.pdf" TargetMode="External"/><Relationship Id="rId48" Type="http://schemas.openxmlformats.org/officeDocument/2006/relationships/hyperlink" Target="http://www.pewsocialtrends.org/2011/12/14/barely-half-of-u-s-adults-are-married-a-record-low/" TargetMode="External"/><Relationship Id="rId56" Type="http://schemas.openxmlformats.org/officeDocument/2006/relationships/hyperlink" Target="http://www.cbo.gov/sites/default/files/cbofiles/attachments/45010-breakout-AppendixC.pdf." TargetMode="External"/><Relationship Id="rId64" Type="http://schemas.openxmlformats.org/officeDocument/2006/relationships/hyperlink" Target="http://www.jstor.org/stable/10.1086/591908" TargetMode="External"/><Relationship Id="rId69" Type="http://schemas.openxmlformats.org/officeDocument/2006/relationships/hyperlink" Target="http://www.jstor.org/stable/2117931" TargetMode="External"/><Relationship Id="rId8" Type="http://schemas.openxmlformats.org/officeDocument/2006/relationships/hyperlink" Target="http://www.jstor.org/stable/10.1525/sp.2005.52.2.209" TargetMode="External"/><Relationship Id="rId51" Type="http://schemas.openxmlformats.org/officeDocument/2006/relationships/hyperlink" Target="http://www.pewtrusts.org/~/media/legacy/uploadedfiles/pcs_assets/2012/PursuingAmericanDreampdf.pdf" TargetMode="External"/><Relationship Id="rId72" Type="http://schemas.openxmlformats.org/officeDocument/2006/relationships/hyperlink" Target="http://www.jstor.org/stable/10.1086/659343" TargetMode="External"/><Relationship Id="rId3" Type="http://schemas.openxmlformats.org/officeDocument/2006/relationships/hyperlink" Target="http://www.brookings.edu/research/papers/2007/11/blackwhite-isaacs" TargetMode="External"/><Relationship Id="rId12" Type="http://schemas.openxmlformats.org/officeDocument/2006/relationships/hyperlink" Target="http://www.pewtrusts.org/~/media/legacy/uploadedfiles/pcs_assets/2007/PEWPkNDollarsandSenseMay2007pdf.pdf" TargetMode="External"/><Relationship Id="rId17" Type="http://schemas.openxmlformats.org/officeDocument/2006/relationships/hyperlink" Target="http://www.nber.org/papers/w17438" TargetMode="External"/><Relationship Id="rId25" Type="http://schemas.openxmlformats.org/officeDocument/2006/relationships/hyperlink" Target="http://www.nber.org/papers/w7599.pdf" TargetMode="External"/><Relationship Id="rId33" Type="http://schemas.openxmlformats.org/officeDocument/2006/relationships/hyperlink" Target="http://www.cbo.gov/sites/default/files/cbofiles/attachments/11-15-2012-MarginalTaxRates.pdf" TargetMode="External"/><Relationship Id="rId38" Type="http://schemas.openxmlformats.org/officeDocument/2006/relationships/hyperlink" Target="http://www.npc.umich.edu/poverty/" TargetMode="External"/><Relationship Id="rId46" Type="http://schemas.openxmlformats.org/officeDocument/2006/relationships/hyperlink" Target="http://www.nber.org/papers/w17633.pdf" TargetMode="External"/><Relationship Id="rId59" Type="http://schemas.openxmlformats.org/officeDocument/2006/relationships/hyperlink" Target="http://www.brookings.edu/~/media/research/files/papers/2013/12/04%20proposal%20help%20low%20income%20families%20kearney/04%20proposal%20help%20low%20income%20families%20kearney.pdf" TargetMode="External"/><Relationship Id="rId67" Type="http://schemas.openxmlformats.org/officeDocument/2006/relationships/hyperlink" Target="http://www.jstor.org/stable/41789509" TargetMode="External"/><Relationship Id="rId20" Type="http://schemas.openxmlformats.org/officeDocument/2006/relationships/hyperlink" Target="https://mail.aei.org/owa/redir.aspx?C=DahUzMCy1UO33ysP_hlsmZrvfND9fdEIJq1mYADoomGWF6enaZIyg2O44EhWvxMitCg1MJfVHgI.&amp;URL=http%3a%2f%2fwww.nber.org%2fpapers%2fw13161.pdf" TargetMode="External"/><Relationship Id="rId41" Type="http://schemas.openxmlformats.org/officeDocument/2006/relationships/hyperlink" Target="http://www.mdrc.org/sites/default/files/More_Graduates.pdf" TargetMode="External"/><Relationship Id="rId54" Type="http://schemas.openxmlformats.org/officeDocument/2006/relationships/hyperlink" Target="http://www.nber.org/papers/w19795.pdf" TargetMode="External"/><Relationship Id="rId62" Type="http://schemas.openxmlformats.org/officeDocument/2006/relationships/hyperlink" Target="http://usa.childcareaware.org/sites/default/files/cost_of_care_2013_103113_0.pdf" TargetMode="External"/><Relationship Id="rId70" Type="http://schemas.openxmlformats.org/officeDocument/2006/relationships/hyperlink" Target="http://www.aei.org/files/2010/09/27/On-the-Margin-Sep-27-2010.pdf" TargetMode="External"/><Relationship Id="rId1" Type="http://schemas.openxmlformats.org/officeDocument/2006/relationships/hyperlink" Target="http://www.pewtrusts.org/~/media/legacy/uploadedfiles/pcs_assets/2012/EMPReportsUpward20Intergen20Mobility2008530pdf.pdf" TargetMode="External"/><Relationship Id="rId6" Type="http://schemas.openxmlformats.org/officeDocument/2006/relationships/hyperlink" Target="http://www.nber.org/papers/w19045.pdf" TargetMode="External"/><Relationship Id="rId15" Type="http://schemas.openxmlformats.org/officeDocument/2006/relationships/hyperlink" Target="http://www.nber.org/papers/w18324.pdf" TargetMode="External"/><Relationship Id="rId23" Type="http://schemas.openxmlformats.org/officeDocument/2006/relationships/hyperlink" Target="http://www.bls.gov/news.release/empsit.t02.htm" TargetMode="External"/><Relationship Id="rId28" Type="http://schemas.openxmlformats.org/officeDocument/2006/relationships/hyperlink" Target="http://www.nber.org/papers/w11729.pdf" TargetMode="External"/><Relationship Id="rId36" Type="http://schemas.openxmlformats.org/officeDocument/2006/relationships/hyperlink" Target="http://www.nber.org/papers/w11681.pdf" TargetMode="External"/><Relationship Id="rId49" Type="http://schemas.openxmlformats.org/officeDocument/2006/relationships/hyperlink" Target="http://www.pewresearch.org/fact-tank/2013/08/21/through-good-times-and-bad-black-unemployment-is-consistently-double-that-of-whites/" TargetMode="External"/><Relationship Id="rId57" Type="http://schemas.openxmlformats.org/officeDocument/2006/relationships/hyperlink" Target="http://mercatus.org/sites/default/files/FichtnerFeldman_MarriageTax_1.pdf" TargetMode="External"/><Relationship Id="rId10" Type="http://schemas.openxmlformats.org/officeDocument/2006/relationships/hyperlink" Target="http://onlinelibrary.wiley.com/doi/10.1002/pam.10139/abstract" TargetMode="External"/><Relationship Id="rId31" Type="http://schemas.openxmlformats.org/officeDocument/2006/relationships/hyperlink" Target="http://www.nber.org/chapters/c10261.pdf" TargetMode="External"/><Relationship Id="rId44" Type="http://schemas.openxmlformats.org/officeDocument/2006/relationships/hyperlink" Target="http://www.jbhe.com/features/65_pellgrants.html" TargetMode="External"/><Relationship Id="rId52" Type="http://schemas.openxmlformats.org/officeDocument/2006/relationships/hyperlink" Target="http://www.hhs.gov/ash/oah/adolescent-health-topics/reproductive-health/teen-pregnancy/trends.html" TargetMode="External"/><Relationship Id="rId60" Type="http://schemas.openxmlformats.org/officeDocument/2006/relationships/hyperlink" Target="http://www.realclearmarkets.com/articles/2012/10/17/social_securitys_war_on_working_wives_99940.html." TargetMode="External"/><Relationship Id="rId65" Type="http://schemas.openxmlformats.org/officeDocument/2006/relationships/hyperlink" Target="http://www.jstor.org/stable/2109377" TargetMode="External"/><Relationship Id="rId73" Type="http://schemas.openxmlformats.org/officeDocument/2006/relationships/hyperlink" Target="http://www.washingtonpost.com/blogs/wonkblog/wp/2014/03/03/breaking-obama-to-propose-expanding-eitc-and-child-tax-credit-in-budget/" TargetMode="External"/><Relationship Id="rId4" Type="http://schemas.openxmlformats.org/officeDocument/2006/relationships/hyperlink" Target="http://www.nber.org/papers/w19843.pdf" TargetMode="External"/><Relationship Id="rId9" Type="http://schemas.openxmlformats.org/officeDocument/2006/relationships/hyperlink" Target="http://www.nber.org/chapters/c11731.pdf" TargetMode="External"/><Relationship Id="rId13" Type="http://schemas.openxmlformats.org/officeDocument/2006/relationships/hyperlink" Target="http://www.nber.org/papers/w10452" TargetMode="External"/><Relationship Id="rId18" Type="http://schemas.openxmlformats.org/officeDocument/2006/relationships/hyperlink" Target="http://www.pewresearch.org/fact-tank/2013/08/21/through-good-times-and-bad-black-unemployment-is-consistently-double-that-of-whites/" TargetMode="External"/><Relationship Id="rId39" Type="http://schemas.openxmlformats.org/officeDocument/2006/relationships/hyperlink" Target="http://www.hamiltonproject.org/files/downloads_and_links/THP_MessacarOreopoulos_CompSchool_DiscPaper_1.pdf" TargetMode="External"/><Relationship Id="rId34" Type="http://schemas.openxmlformats.org/officeDocument/2006/relationships/hyperlink" Target="http://www.nber.org/papers/w8975.pdf" TargetMode="External"/><Relationship Id="rId50" Type="http://schemas.openxmlformats.org/officeDocument/2006/relationships/hyperlink" Target="http://www.census.gov/prod/2013pubs/p20-570.pdf" TargetMode="External"/><Relationship Id="rId55" Type="http://schemas.openxmlformats.org/officeDocument/2006/relationships/hyperlink" Target="http://www.nber.org/papers/w19365.pdf" TargetMode="External"/><Relationship Id="rId7" Type="http://schemas.openxmlformats.org/officeDocument/2006/relationships/hyperlink" Target="http://books.google.com/books/about/Sharing_America_s_Neighborhoods.html?id=NrT3oT0bzVAC" TargetMode="External"/><Relationship Id="rId71" Type="http://schemas.openxmlformats.org/officeDocument/2006/relationships/hyperlink" Target="http://www.jstor.org/stable/20007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8450-6B35-4961-889F-0C467304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5904</Words>
  <Characters>33657</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dc:creator>
  <cp:lastModifiedBy>ADM.S</cp:lastModifiedBy>
  <cp:revision>2</cp:revision>
  <dcterms:created xsi:type="dcterms:W3CDTF">2014-07-30T14:36:00Z</dcterms:created>
  <dcterms:modified xsi:type="dcterms:W3CDTF">2014-07-30T14:36:00Z</dcterms:modified>
</cp:coreProperties>
</file>