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80B68" w14:textId="6346682F" w:rsidR="004D707D" w:rsidRPr="002E6D6E" w:rsidRDefault="002E6D6E" w:rsidP="00865814">
      <w:pPr>
        <w:spacing w:after="0" w:line="240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Trebuchet MS" w:eastAsia="Times New Roman" w:hAnsi="Trebuchet MS"/>
          <w:noProof/>
          <w:color w:val="0000FF"/>
          <w:sz w:val="2"/>
          <w:szCs w:val="2"/>
        </w:rPr>
        <w:drawing>
          <wp:inline distT="0" distB="0" distL="0" distR="0" wp14:anchorId="5939F93C" wp14:editId="201B4957">
            <wp:extent cx="6817360" cy="810978"/>
            <wp:effectExtent l="0" t="0" r="2540" b="8255"/>
            <wp:docPr id="1" name="Picture 1" descr="Joint Economic Committee -&#10; Representative Erik Paulsen, Chairma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int Economic Committee -&#10; Representative Erik Paulsen, Chairm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857" cy="8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092">
        <w:rPr>
          <w:rFonts w:ascii="Arial" w:hAnsi="Arial" w:cs="Arial"/>
          <w:szCs w:val="24"/>
        </w:rPr>
        <w:t>July</w:t>
      </w:r>
      <w:r w:rsidR="00A71611" w:rsidRPr="00EC6092">
        <w:rPr>
          <w:rFonts w:ascii="Arial" w:hAnsi="Arial" w:cs="Arial"/>
          <w:szCs w:val="24"/>
        </w:rPr>
        <w:t xml:space="preserve"> </w:t>
      </w:r>
      <w:r w:rsidR="00796BF2" w:rsidRPr="00EC6092">
        <w:rPr>
          <w:rFonts w:ascii="Arial" w:hAnsi="Arial" w:cs="Arial"/>
          <w:szCs w:val="24"/>
        </w:rPr>
        <w:t>30</w:t>
      </w:r>
      <w:r w:rsidR="00A71611" w:rsidRPr="00EC6092">
        <w:rPr>
          <w:rFonts w:ascii="Arial" w:hAnsi="Arial" w:cs="Arial"/>
          <w:szCs w:val="24"/>
        </w:rPr>
        <w:t xml:space="preserve">, </w:t>
      </w:r>
      <w:r w:rsidR="004E37E1" w:rsidRPr="00EC6092">
        <w:rPr>
          <w:rFonts w:ascii="Arial" w:hAnsi="Arial" w:cs="Arial"/>
          <w:szCs w:val="24"/>
        </w:rPr>
        <w:t>2018</w:t>
      </w:r>
    </w:p>
    <w:p w14:paraId="422E2F99" w14:textId="23759B3A" w:rsidR="006C0304" w:rsidRPr="00C84705" w:rsidRDefault="002E6D6E" w:rsidP="000A58A1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Q2-2018</w:t>
      </w:r>
      <w:r w:rsidR="001B7704" w:rsidRPr="002E6D6E">
        <w:rPr>
          <w:rFonts w:ascii="Arial" w:hAnsi="Arial" w:cs="Arial"/>
          <w:b/>
          <w:sz w:val="28"/>
          <w:szCs w:val="24"/>
        </w:rPr>
        <w:t xml:space="preserve"> </w:t>
      </w:r>
      <w:r w:rsidR="004D707D" w:rsidRPr="002E6D6E">
        <w:rPr>
          <w:rFonts w:ascii="Arial" w:hAnsi="Arial" w:cs="Arial"/>
          <w:b/>
          <w:sz w:val="28"/>
          <w:szCs w:val="24"/>
        </w:rPr>
        <w:t>GDP Review</w:t>
      </w:r>
    </w:p>
    <w:p w14:paraId="72291CD6" w14:textId="19EED8AC" w:rsidR="006263C9" w:rsidRPr="00C756AD" w:rsidRDefault="00093B0D" w:rsidP="00E143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C756AD">
        <w:rPr>
          <w:rFonts w:ascii="Arial" w:hAnsi="Arial" w:cs="Arial"/>
          <w:b/>
        </w:rPr>
        <w:t xml:space="preserve">GDP Review </w:t>
      </w:r>
      <w:r w:rsidR="006263C9" w:rsidRPr="00C756AD">
        <w:rPr>
          <w:rFonts w:ascii="Arial" w:hAnsi="Arial" w:cs="Arial"/>
          <w:b/>
        </w:rPr>
        <w:t>Snapshot</w:t>
      </w:r>
    </w:p>
    <w:p w14:paraId="55F139D5" w14:textId="5F4BED23" w:rsidR="006263C9" w:rsidRDefault="007F6EA1" w:rsidP="00774C85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C756AD">
        <w:rPr>
          <w:rFonts w:ascii="Arial" w:hAnsi="Arial" w:cs="Arial"/>
        </w:rPr>
        <w:t>Real</w:t>
      </w:r>
      <w:r w:rsidR="00B5456F" w:rsidRPr="00C756AD">
        <w:rPr>
          <w:rFonts w:ascii="Arial" w:hAnsi="Arial" w:cs="Arial"/>
        </w:rPr>
        <w:t xml:space="preserve"> GDP</w:t>
      </w:r>
      <w:r w:rsidR="00187FDC" w:rsidRPr="00C756AD">
        <w:rPr>
          <w:rFonts w:ascii="Arial" w:hAnsi="Arial" w:cs="Arial"/>
        </w:rPr>
        <w:t xml:space="preserve"> </w:t>
      </w:r>
      <w:r w:rsidRPr="00C756AD">
        <w:rPr>
          <w:rFonts w:ascii="Arial" w:hAnsi="Arial" w:cs="Arial"/>
        </w:rPr>
        <w:t xml:space="preserve">grew at an </w:t>
      </w:r>
      <w:r w:rsidR="00BC11D0">
        <w:rPr>
          <w:rFonts w:ascii="Arial" w:hAnsi="Arial" w:cs="Arial"/>
        </w:rPr>
        <w:t>annual</w:t>
      </w:r>
      <w:r w:rsidRPr="00C756AD">
        <w:rPr>
          <w:rFonts w:ascii="Arial" w:hAnsi="Arial" w:cs="Arial"/>
        </w:rPr>
        <w:t xml:space="preserve"> rate of </w:t>
      </w:r>
      <w:r w:rsidR="00327F8F" w:rsidRPr="00327F8F">
        <w:rPr>
          <w:rFonts w:ascii="Arial" w:hAnsi="Arial" w:cs="Arial"/>
        </w:rPr>
        <w:t>4.1</w:t>
      </w:r>
      <w:r w:rsidRPr="00327F8F">
        <w:rPr>
          <w:rFonts w:ascii="Arial" w:hAnsi="Arial" w:cs="Arial"/>
        </w:rPr>
        <w:t>%</w:t>
      </w:r>
      <w:r w:rsidR="00B5456F" w:rsidRPr="00327F8F">
        <w:rPr>
          <w:rFonts w:ascii="Arial" w:hAnsi="Arial" w:cs="Arial"/>
        </w:rPr>
        <w:t xml:space="preserve"> </w:t>
      </w:r>
      <w:r w:rsidR="000C5E34" w:rsidRPr="00C756AD">
        <w:rPr>
          <w:rFonts w:ascii="Arial" w:hAnsi="Arial" w:cs="Arial"/>
        </w:rPr>
        <w:t>in</w:t>
      </w:r>
      <w:r w:rsidR="00B5456F" w:rsidRPr="00C756AD">
        <w:rPr>
          <w:rFonts w:ascii="Arial" w:hAnsi="Arial" w:cs="Arial"/>
        </w:rPr>
        <w:t xml:space="preserve"> the </w:t>
      </w:r>
      <w:r w:rsidR="002E6D6E">
        <w:rPr>
          <w:rFonts w:ascii="Arial" w:hAnsi="Arial" w:cs="Arial"/>
        </w:rPr>
        <w:t>second</w:t>
      </w:r>
      <w:r w:rsidR="00B5456F" w:rsidRPr="00C756AD">
        <w:rPr>
          <w:rFonts w:ascii="Arial" w:hAnsi="Arial" w:cs="Arial"/>
        </w:rPr>
        <w:t xml:space="preserve"> quarter of 201</w:t>
      </w:r>
      <w:r w:rsidR="002A21C3">
        <w:rPr>
          <w:rFonts w:ascii="Arial" w:hAnsi="Arial" w:cs="Arial"/>
        </w:rPr>
        <w:t>8</w:t>
      </w:r>
      <w:r w:rsidR="00BC11D0">
        <w:rPr>
          <w:rFonts w:ascii="Arial" w:hAnsi="Arial" w:cs="Arial"/>
        </w:rPr>
        <w:t>, exceeding expectations</w:t>
      </w:r>
      <w:r w:rsidR="00774C85" w:rsidRPr="00C756AD">
        <w:rPr>
          <w:rFonts w:ascii="Arial" w:hAnsi="Arial" w:cs="Arial"/>
        </w:rPr>
        <w:t>.</w:t>
      </w:r>
    </w:p>
    <w:p w14:paraId="248FC490" w14:textId="2052D4A6" w:rsidR="00694737" w:rsidRPr="00AE08F3" w:rsidRDefault="00694737" w:rsidP="00AE08F3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Consumer spending was the largest contributor to real GDP growth.</w:t>
      </w:r>
    </w:p>
    <w:p w14:paraId="2AE44F2D" w14:textId="5DE8F242" w:rsidR="00EC6092" w:rsidRPr="003968A7" w:rsidRDefault="00EC6092" w:rsidP="00EC6092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3968A7">
        <w:rPr>
          <w:rFonts w:ascii="Arial" w:hAnsi="Arial" w:cs="Arial"/>
        </w:rPr>
        <w:t>Thanks to TCJA</w:t>
      </w:r>
      <w:r w:rsidR="00694737">
        <w:rPr>
          <w:rFonts w:ascii="Arial" w:hAnsi="Arial" w:cs="Arial"/>
        </w:rPr>
        <w:t>,</w:t>
      </w:r>
      <w:r w:rsidRPr="003968A7">
        <w:rPr>
          <w:rFonts w:ascii="Arial" w:hAnsi="Arial" w:cs="Arial"/>
        </w:rPr>
        <w:t xml:space="preserve"> business nonresidential fixed investment </w:t>
      </w:r>
      <w:r w:rsidR="00AE08F3">
        <w:rPr>
          <w:rFonts w:ascii="Arial" w:hAnsi="Arial" w:cs="Arial"/>
        </w:rPr>
        <w:t xml:space="preserve">showed </w:t>
      </w:r>
      <w:r w:rsidRPr="003968A7">
        <w:rPr>
          <w:rFonts w:ascii="Arial" w:hAnsi="Arial" w:cs="Arial"/>
        </w:rPr>
        <w:t>continued strength this quarter.</w:t>
      </w:r>
    </w:p>
    <w:p w14:paraId="521498AF" w14:textId="2C30195D" w:rsidR="007E2A04" w:rsidRDefault="007E2A04" w:rsidP="007E2A0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327F8F">
        <w:rPr>
          <w:rFonts w:ascii="Arial" w:hAnsi="Arial" w:cs="Arial"/>
        </w:rPr>
        <w:t xml:space="preserve">Q1-2018 real GDP was revised up to 2.2% </w:t>
      </w:r>
      <w:r w:rsidR="0093001A">
        <w:rPr>
          <w:rFonts w:ascii="Arial" w:hAnsi="Arial" w:cs="Arial"/>
        </w:rPr>
        <w:t>as part of BEA’s comprehensive update back to 1929.</w:t>
      </w:r>
    </w:p>
    <w:p w14:paraId="66A53E0D" w14:textId="187C73E8" w:rsidR="00915527" w:rsidRDefault="00915527" w:rsidP="007E2A0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Real disposable income grew at an average annual rate of 3.5% in the first half of 2018.</w:t>
      </w:r>
    </w:p>
    <w:p w14:paraId="2E442538" w14:textId="39C22108" w:rsidR="006263C9" w:rsidRPr="00C756AD" w:rsidRDefault="006263C9" w:rsidP="006C0304">
      <w:pPr>
        <w:spacing w:after="0"/>
        <w:rPr>
          <w:rFonts w:ascii="Arial" w:hAnsi="Arial" w:cs="Arial"/>
          <w:b/>
          <w:sz w:val="20"/>
        </w:rPr>
      </w:pPr>
    </w:p>
    <w:p w14:paraId="00E4D64E" w14:textId="5FD8C448" w:rsidR="006C0304" w:rsidRPr="00C756AD" w:rsidRDefault="00093B0D" w:rsidP="00BA644A">
      <w:pPr>
        <w:spacing w:after="0"/>
        <w:jc w:val="both"/>
        <w:rPr>
          <w:rFonts w:ascii="Arial" w:hAnsi="Arial" w:cs="Arial"/>
          <w:b/>
        </w:rPr>
      </w:pPr>
      <w:r w:rsidRPr="00C756AD">
        <w:rPr>
          <w:rFonts w:ascii="Arial" w:hAnsi="Arial" w:cs="Arial"/>
          <w:b/>
        </w:rPr>
        <w:t>Details</w:t>
      </w:r>
    </w:p>
    <w:p w14:paraId="310D73E5" w14:textId="54225E0D" w:rsidR="00590C45" w:rsidRPr="00C756AD" w:rsidRDefault="006C0304" w:rsidP="00624E62">
      <w:pPr>
        <w:jc w:val="both"/>
        <w:rPr>
          <w:rFonts w:ascii="Arial" w:hAnsi="Arial" w:cs="Arial"/>
        </w:rPr>
      </w:pPr>
      <w:r w:rsidRPr="00C756AD">
        <w:rPr>
          <w:rFonts w:ascii="Arial" w:hAnsi="Arial" w:cs="Arial"/>
        </w:rPr>
        <w:t xml:space="preserve">The </w:t>
      </w:r>
      <w:hyperlink r:id="rId10" w:history="1">
        <w:r w:rsidRPr="00C756AD">
          <w:rPr>
            <w:rStyle w:val="Hyperlink"/>
            <w:rFonts w:ascii="Arial" w:hAnsi="Arial" w:cs="Arial"/>
          </w:rPr>
          <w:t xml:space="preserve">Bureau of Economic Analysis (BEA) </w:t>
        </w:r>
        <w:r w:rsidR="0041586E" w:rsidRPr="00C756AD">
          <w:rPr>
            <w:rStyle w:val="Hyperlink"/>
            <w:rFonts w:ascii="Arial" w:hAnsi="Arial" w:cs="Arial"/>
          </w:rPr>
          <w:t>reported</w:t>
        </w:r>
      </w:hyperlink>
      <w:r w:rsidR="0041586E" w:rsidRPr="00C756AD">
        <w:rPr>
          <w:rFonts w:ascii="Arial" w:hAnsi="Arial" w:cs="Arial"/>
        </w:rPr>
        <w:t xml:space="preserve"> that </w:t>
      </w:r>
      <w:r w:rsidRPr="00C756AD">
        <w:rPr>
          <w:rFonts w:ascii="Arial" w:hAnsi="Arial" w:cs="Arial"/>
        </w:rPr>
        <w:t>real gross domestic product (</w:t>
      </w:r>
      <w:r w:rsidR="0041586E" w:rsidRPr="00C756AD">
        <w:rPr>
          <w:rFonts w:ascii="Arial" w:hAnsi="Arial" w:cs="Arial"/>
        </w:rPr>
        <w:t>R</w:t>
      </w:r>
      <w:r w:rsidRPr="00C756AD">
        <w:rPr>
          <w:rFonts w:ascii="Arial" w:hAnsi="Arial" w:cs="Arial"/>
        </w:rPr>
        <w:t>GDP)</w:t>
      </w:r>
      <w:r w:rsidR="00D15F95" w:rsidRPr="00C756AD">
        <w:rPr>
          <w:rFonts w:ascii="Arial" w:hAnsi="Arial" w:cs="Arial"/>
        </w:rPr>
        <w:t xml:space="preserve"> </w:t>
      </w:r>
      <w:r w:rsidRPr="00C756AD">
        <w:rPr>
          <w:rFonts w:ascii="Arial" w:hAnsi="Arial" w:cs="Arial"/>
        </w:rPr>
        <w:t xml:space="preserve">grew </w:t>
      </w:r>
      <w:r w:rsidR="006263C9" w:rsidRPr="00C756AD">
        <w:rPr>
          <w:rFonts w:ascii="Arial" w:hAnsi="Arial" w:cs="Arial"/>
        </w:rPr>
        <w:t xml:space="preserve">at a </w:t>
      </w:r>
      <w:r w:rsidR="00327F8F">
        <w:rPr>
          <w:rFonts w:ascii="Arial" w:hAnsi="Arial" w:cs="Arial"/>
        </w:rPr>
        <w:t>4.1</w:t>
      </w:r>
      <w:r w:rsidRPr="00C756AD">
        <w:rPr>
          <w:rFonts w:ascii="Arial" w:hAnsi="Arial" w:cs="Arial"/>
        </w:rPr>
        <w:t xml:space="preserve">% </w:t>
      </w:r>
      <w:r w:rsidR="006263C9" w:rsidRPr="00C756AD">
        <w:rPr>
          <w:rFonts w:ascii="Arial" w:hAnsi="Arial" w:cs="Arial"/>
        </w:rPr>
        <w:t>annual rate</w:t>
      </w:r>
      <w:r w:rsidR="00E173F8" w:rsidRPr="00C756AD">
        <w:rPr>
          <w:rStyle w:val="EndnoteReference"/>
          <w:rFonts w:ascii="Arial" w:hAnsi="Arial" w:cs="Arial"/>
        </w:rPr>
        <w:endnoteReference w:id="1"/>
      </w:r>
      <w:r w:rsidR="00E173F8" w:rsidRPr="00C756AD">
        <w:rPr>
          <w:rFonts w:ascii="Arial" w:hAnsi="Arial" w:cs="Arial"/>
        </w:rPr>
        <w:t xml:space="preserve"> </w:t>
      </w:r>
      <w:r w:rsidRPr="00C756AD">
        <w:rPr>
          <w:rFonts w:ascii="Arial" w:hAnsi="Arial" w:cs="Arial"/>
        </w:rPr>
        <w:t xml:space="preserve">in </w:t>
      </w:r>
      <w:r w:rsidR="00D84E0B" w:rsidRPr="00C756AD">
        <w:rPr>
          <w:rFonts w:ascii="Arial" w:hAnsi="Arial" w:cs="Arial"/>
        </w:rPr>
        <w:t>Q</w:t>
      </w:r>
      <w:r w:rsidR="002E6D6E">
        <w:rPr>
          <w:rFonts w:ascii="Arial" w:hAnsi="Arial" w:cs="Arial"/>
        </w:rPr>
        <w:t>2</w:t>
      </w:r>
      <w:r w:rsidR="00D84E0B" w:rsidRPr="00C756AD">
        <w:rPr>
          <w:rFonts w:ascii="Arial" w:hAnsi="Arial" w:cs="Arial"/>
        </w:rPr>
        <w:t>-201</w:t>
      </w:r>
      <w:r w:rsidR="00D15F74">
        <w:rPr>
          <w:rFonts w:ascii="Arial" w:hAnsi="Arial" w:cs="Arial"/>
        </w:rPr>
        <w:t>8</w:t>
      </w:r>
      <w:r w:rsidR="00EF50E9" w:rsidRPr="00C756AD">
        <w:rPr>
          <w:rFonts w:ascii="Arial" w:hAnsi="Arial" w:cs="Arial"/>
        </w:rPr>
        <w:t>.</w:t>
      </w:r>
      <w:r w:rsidRPr="00C756AD">
        <w:rPr>
          <w:rFonts w:ascii="Arial" w:hAnsi="Arial" w:cs="Arial"/>
        </w:rPr>
        <w:t xml:space="preserve"> </w:t>
      </w:r>
      <w:r w:rsidR="005B23D3" w:rsidRPr="00C756AD">
        <w:rPr>
          <w:rFonts w:ascii="Arial" w:hAnsi="Arial" w:cs="Arial"/>
        </w:rPr>
        <w:t xml:space="preserve">Nominal GDP (NGDP), which measures total spending in the economy </w:t>
      </w:r>
      <w:r w:rsidR="00E143B9" w:rsidRPr="00C756AD">
        <w:rPr>
          <w:rFonts w:ascii="Arial" w:hAnsi="Arial" w:cs="Arial"/>
        </w:rPr>
        <w:t>without adjusting for inflation</w:t>
      </w:r>
      <w:r w:rsidR="005B23D3" w:rsidRPr="00C756AD">
        <w:rPr>
          <w:rFonts w:ascii="Arial" w:hAnsi="Arial" w:cs="Arial"/>
        </w:rPr>
        <w:t xml:space="preserve">, increased by </w:t>
      </w:r>
      <w:r w:rsidR="00327F8F">
        <w:rPr>
          <w:rFonts w:ascii="Arial" w:hAnsi="Arial" w:cs="Arial"/>
        </w:rPr>
        <w:t>7.4</w:t>
      </w:r>
      <w:r w:rsidR="00590C45" w:rsidRPr="00C756AD">
        <w:rPr>
          <w:rFonts w:ascii="Arial" w:hAnsi="Arial" w:cs="Arial"/>
        </w:rPr>
        <w:t>%.</w:t>
      </w:r>
      <w:r w:rsidR="009310B3">
        <w:rPr>
          <w:rFonts w:ascii="Arial" w:hAnsi="Arial" w:cs="Arial"/>
        </w:rPr>
        <w:t xml:space="preserve"> The difference between NGDP and RGDP</w:t>
      </w:r>
      <w:r w:rsidR="009163EC">
        <w:rPr>
          <w:rFonts w:ascii="Arial" w:hAnsi="Arial" w:cs="Arial"/>
        </w:rPr>
        <w:t xml:space="preserve"> growth</w:t>
      </w:r>
      <w:r w:rsidR="009310B3">
        <w:rPr>
          <w:rFonts w:ascii="Arial" w:hAnsi="Arial" w:cs="Arial"/>
        </w:rPr>
        <w:t xml:space="preserve"> is </w:t>
      </w:r>
      <w:r w:rsidR="009163EC">
        <w:rPr>
          <w:rFonts w:ascii="Arial" w:hAnsi="Arial" w:cs="Arial"/>
        </w:rPr>
        <w:t>the</w:t>
      </w:r>
      <w:r w:rsidR="009310B3">
        <w:rPr>
          <w:rFonts w:ascii="Arial" w:hAnsi="Arial" w:cs="Arial"/>
        </w:rPr>
        <w:t xml:space="preserve"> GDP deflator.</w:t>
      </w:r>
    </w:p>
    <w:p w14:paraId="40D30D8D" w14:textId="0FE272FC" w:rsidR="00450683" w:rsidRPr="00C756AD" w:rsidRDefault="00AA3539" w:rsidP="000A58A1">
      <w:pPr>
        <w:rPr>
          <w:rFonts w:ascii="Arial" w:hAnsi="Arial" w:cs="Arial"/>
          <w:sz w:val="14"/>
          <w:szCs w:val="24"/>
        </w:rPr>
      </w:pPr>
      <w:r>
        <w:rPr>
          <w:noProof/>
        </w:rPr>
        <w:drawing>
          <wp:inline distT="0" distB="0" distL="0" distR="0" wp14:anchorId="7D61ECEF" wp14:editId="42F3DE1B">
            <wp:extent cx="6858000" cy="2186609"/>
            <wp:effectExtent l="0" t="0" r="0" b="444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10820" w:type="dxa"/>
        <w:tblLook w:val="04A0" w:firstRow="1" w:lastRow="0" w:firstColumn="1" w:lastColumn="0" w:noHBand="0" w:noVBand="1"/>
      </w:tblPr>
      <w:tblGrid>
        <w:gridCol w:w="3380"/>
        <w:gridCol w:w="1240"/>
        <w:gridCol w:w="1240"/>
        <w:gridCol w:w="1240"/>
        <w:gridCol w:w="1240"/>
        <w:gridCol w:w="1240"/>
        <w:gridCol w:w="1240"/>
      </w:tblGrid>
      <w:tr w:rsidR="0069721F" w:rsidRPr="0069721F" w14:paraId="3F181022" w14:textId="77777777" w:rsidTr="0069721F">
        <w:trPr>
          <w:trHeight w:val="30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D25A" w14:textId="459E79A0" w:rsidR="0069721F" w:rsidRPr="0069721F" w:rsidRDefault="0069721F" w:rsidP="0069721F">
            <w:pPr>
              <w:spacing w:after="0" w:line="240" w:lineRule="auto"/>
              <w:rPr>
                <w:rFonts w:ascii="Arial" w:eastAsia="Times New Roman" w:hAnsi="Arial" w:cs="Arial"/>
                <w:bCs/>
                <w:i/>
              </w:rPr>
            </w:pPr>
            <w:r w:rsidRPr="0069721F">
              <w:rPr>
                <w:rFonts w:ascii="Arial" w:eastAsia="Times New Roman" w:hAnsi="Arial" w:cs="Arial"/>
                <w:b/>
                <w:bCs/>
              </w:rPr>
              <w:t> </w:t>
            </w:r>
            <w:r w:rsidR="001D7999" w:rsidRPr="001D7999">
              <w:rPr>
                <w:rFonts w:ascii="Arial" w:eastAsia="Times New Roman" w:hAnsi="Arial" w:cs="Arial"/>
                <w:bCs/>
                <w:i/>
                <w:sz w:val="18"/>
              </w:rPr>
              <w:t>Figures may not sum due to rounding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F8A22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9721F">
              <w:rPr>
                <w:rFonts w:ascii="Arial" w:eastAsia="Times New Roman" w:hAnsi="Arial" w:cs="Arial"/>
              </w:rPr>
              <w:t>Actual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3001D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9721F">
              <w:rPr>
                <w:rFonts w:ascii="Arial" w:eastAsia="Times New Roman" w:hAnsi="Arial" w:cs="Arial"/>
              </w:rPr>
              <w:t>Blue Chip Consensus Forecast</w:t>
            </w:r>
          </w:p>
        </w:tc>
      </w:tr>
      <w:tr w:rsidR="0069721F" w:rsidRPr="0069721F" w14:paraId="2C4D3945" w14:textId="77777777" w:rsidTr="0069721F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2FB9A7" w14:textId="77777777" w:rsidR="0069721F" w:rsidRPr="0069721F" w:rsidRDefault="0069721F" w:rsidP="0069721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9721F">
              <w:rPr>
                <w:rFonts w:ascii="Arial" w:eastAsia="Times New Roman" w:hAnsi="Arial" w:cs="Arial"/>
              </w:rPr>
              <w:t>Component/Quarter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6F1F237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9721F">
              <w:rPr>
                <w:rFonts w:ascii="Arial" w:eastAsia="Times New Roman" w:hAnsi="Arial" w:cs="Arial"/>
              </w:rPr>
              <w:t>Q1-2018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E60AD0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9721F">
              <w:rPr>
                <w:rFonts w:ascii="Arial" w:eastAsia="Times New Roman" w:hAnsi="Arial" w:cs="Arial"/>
                <w:b/>
                <w:bCs/>
              </w:rPr>
              <w:t>Q2-2018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6399772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9721F">
              <w:rPr>
                <w:rFonts w:ascii="Arial" w:eastAsia="Times New Roman" w:hAnsi="Arial" w:cs="Arial"/>
                <w:b/>
                <w:bCs/>
              </w:rPr>
              <w:t>Q2-2018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73A7A2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9721F">
              <w:rPr>
                <w:rFonts w:ascii="Arial" w:eastAsia="Times New Roman" w:hAnsi="Arial" w:cs="Arial"/>
              </w:rPr>
              <w:t>Q3-2018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1F2ED08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9721F">
              <w:rPr>
                <w:rFonts w:ascii="Arial" w:eastAsia="Times New Roman" w:hAnsi="Arial" w:cs="Arial"/>
              </w:rPr>
              <w:t>Q4-2018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7C3D6D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9721F">
              <w:rPr>
                <w:rFonts w:ascii="Arial" w:eastAsia="Times New Roman" w:hAnsi="Arial" w:cs="Arial"/>
              </w:rPr>
              <w:t>Q1-2019</w:t>
            </w:r>
          </w:p>
        </w:tc>
      </w:tr>
      <w:tr w:rsidR="0069721F" w:rsidRPr="0069721F" w14:paraId="454876F7" w14:textId="77777777" w:rsidTr="0069721F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829" w14:textId="77777777" w:rsidR="0069721F" w:rsidRPr="0069721F" w:rsidRDefault="0069721F" w:rsidP="0069721F">
            <w:pPr>
              <w:spacing w:after="0" w:line="240" w:lineRule="auto"/>
              <w:rPr>
                <w:rFonts w:ascii="Arial" w:eastAsia="Times New Roman" w:hAnsi="Arial" w:cs="Arial"/>
                <w:color w:val="002060"/>
              </w:rPr>
            </w:pPr>
            <w:r w:rsidRPr="0069721F">
              <w:rPr>
                <w:rFonts w:ascii="Arial" w:eastAsia="Times New Roman" w:hAnsi="Arial" w:cs="Arial"/>
                <w:color w:val="002060"/>
              </w:rPr>
              <w:t>Real GDP (RGDP) growth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9A4C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69721F">
              <w:rPr>
                <w:rFonts w:ascii="Arial" w:eastAsia="Times New Roman" w:hAnsi="Arial" w:cs="Arial"/>
                <w:color w:val="002060"/>
              </w:rPr>
              <w:t>2.2%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16F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69721F">
              <w:rPr>
                <w:rFonts w:ascii="Arial" w:eastAsia="Times New Roman" w:hAnsi="Arial" w:cs="Arial"/>
                <w:b/>
                <w:bCs/>
                <w:color w:val="002060"/>
              </w:rPr>
              <w:t>4.1%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98A1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69721F">
              <w:rPr>
                <w:rFonts w:ascii="Arial" w:eastAsia="Times New Roman" w:hAnsi="Arial" w:cs="Arial"/>
                <w:b/>
                <w:bCs/>
                <w:color w:val="002060"/>
              </w:rPr>
              <w:t>3.9%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5B9E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69721F">
              <w:rPr>
                <w:rFonts w:ascii="Arial" w:eastAsia="Times New Roman" w:hAnsi="Arial" w:cs="Arial"/>
                <w:color w:val="002060"/>
              </w:rPr>
              <w:t>2.9%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6AEF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69721F">
              <w:rPr>
                <w:rFonts w:ascii="Arial" w:eastAsia="Times New Roman" w:hAnsi="Arial" w:cs="Arial"/>
                <w:color w:val="002060"/>
              </w:rPr>
              <w:t>2.8%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FE96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</w:rPr>
            </w:pPr>
            <w:r w:rsidRPr="0069721F">
              <w:rPr>
                <w:rFonts w:ascii="Arial" w:eastAsia="Times New Roman" w:hAnsi="Arial" w:cs="Arial"/>
                <w:color w:val="002060"/>
              </w:rPr>
              <w:t>2.4%</w:t>
            </w:r>
          </w:p>
        </w:tc>
      </w:tr>
      <w:tr w:rsidR="0069721F" w:rsidRPr="0069721F" w14:paraId="4A30DB4E" w14:textId="77777777" w:rsidTr="0069721F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08BD99" w14:textId="77777777" w:rsidR="0069721F" w:rsidRPr="0069721F" w:rsidRDefault="0069721F" w:rsidP="0069721F">
            <w:pPr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69721F">
              <w:rPr>
                <w:rFonts w:ascii="Arial" w:eastAsia="Times New Roman" w:hAnsi="Arial" w:cs="Arial"/>
                <w:color w:val="FF0000"/>
              </w:rPr>
              <w:t>Nominal GDP (NGDP) growth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5E3E38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69721F">
              <w:rPr>
                <w:rFonts w:ascii="Arial" w:eastAsia="Times New Roman" w:hAnsi="Arial" w:cs="Arial"/>
                <w:color w:val="FF0000"/>
              </w:rPr>
              <w:t>4.3%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5C78F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9721F">
              <w:rPr>
                <w:rFonts w:ascii="Arial" w:eastAsia="Times New Roman" w:hAnsi="Arial" w:cs="Arial"/>
                <w:b/>
                <w:bCs/>
                <w:color w:val="FF0000"/>
              </w:rPr>
              <w:t>7.4%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456AEE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69721F">
              <w:rPr>
                <w:rFonts w:ascii="Arial" w:eastAsia="Times New Roman" w:hAnsi="Arial" w:cs="Arial"/>
                <w:b/>
                <w:bCs/>
                <w:color w:val="FF0000"/>
              </w:rPr>
              <w:t>6.0%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23E5DB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69721F">
              <w:rPr>
                <w:rFonts w:ascii="Arial" w:eastAsia="Times New Roman" w:hAnsi="Arial" w:cs="Arial"/>
                <w:color w:val="FF0000"/>
              </w:rPr>
              <w:t>5.2%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35E1A4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69721F">
              <w:rPr>
                <w:rFonts w:ascii="Arial" w:eastAsia="Times New Roman" w:hAnsi="Arial" w:cs="Arial"/>
                <w:color w:val="FF0000"/>
              </w:rPr>
              <w:t>5.0%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1E3DAC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69721F">
              <w:rPr>
                <w:rFonts w:ascii="Arial" w:eastAsia="Times New Roman" w:hAnsi="Arial" w:cs="Arial"/>
                <w:color w:val="FF0000"/>
              </w:rPr>
              <w:t>4.7%</w:t>
            </w:r>
          </w:p>
        </w:tc>
      </w:tr>
      <w:tr w:rsidR="0069721F" w:rsidRPr="0069721F" w14:paraId="2289D91B" w14:textId="77777777" w:rsidTr="0069721F">
        <w:trPr>
          <w:trHeight w:val="30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27C9" w14:textId="77777777" w:rsidR="0069721F" w:rsidRPr="0069721F" w:rsidRDefault="0069721F" w:rsidP="0069721F">
            <w:pPr>
              <w:spacing w:after="0" w:line="240" w:lineRule="auto"/>
              <w:rPr>
                <w:rFonts w:ascii="Arial" w:eastAsia="Times New Roman" w:hAnsi="Arial" w:cs="Arial"/>
                <w:color w:val="00B0F0"/>
              </w:rPr>
            </w:pPr>
            <w:r w:rsidRPr="0069721F">
              <w:rPr>
                <w:rFonts w:ascii="Arial" w:eastAsia="Times New Roman" w:hAnsi="Arial" w:cs="Arial"/>
                <w:color w:val="00B0F0"/>
              </w:rPr>
              <w:t>GDP deflator (inflation rate)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52BCD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</w:rPr>
            </w:pPr>
            <w:r w:rsidRPr="0069721F">
              <w:rPr>
                <w:rFonts w:ascii="Arial" w:eastAsia="Times New Roman" w:hAnsi="Arial" w:cs="Arial"/>
                <w:color w:val="00B0F0"/>
              </w:rPr>
              <w:t>2.0%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32E2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</w:rPr>
            </w:pPr>
            <w:r w:rsidRPr="0069721F">
              <w:rPr>
                <w:rFonts w:ascii="Arial" w:eastAsia="Times New Roman" w:hAnsi="Arial" w:cs="Arial"/>
                <w:b/>
                <w:bCs/>
                <w:color w:val="00B0F0"/>
              </w:rPr>
              <w:t>3.2%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2F905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</w:rPr>
            </w:pPr>
            <w:r w:rsidRPr="0069721F">
              <w:rPr>
                <w:rFonts w:ascii="Arial" w:eastAsia="Times New Roman" w:hAnsi="Arial" w:cs="Arial"/>
                <w:b/>
                <w:bCs/>
                <w:color w:val="00B0F0"/>
              </w:rPr>
              <w:t>2.1%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80464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</w:rPr>
            </w:pPr>
            <w:r w:rsidRPr="0069721F">
              <w:rPr>
                <w:rFonts w:ascii="Arial" w:eastAsia="Times New Roman" w:hAnsi="Arial" w:cs="Arial"/>
                <w:color w:val="00B0F0"/>
              </w:rPr>
              <w:t>2.3%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D466C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</w:rPr>
            </w:pPr>
            <w:r w:rsidRPr="0069721F">
              <w:rPr>
                <w:rFonts w:ascii="Arial" w:eastAsia="Times New Roman" w:hAnsi="Arial" w:cs="Arial"/>
                <w:color w:val="00B0F0"/>
              </w:rPr>
              <w:t>2.2%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6BC2" w14:textId="77777777" w:rsidR="0069721F" w:rsidRPr="0069721F" w:rsidRDefault="0069721F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</w:rPr>
            </w:pPr>
            <w:r w:rsidRPr="0069721F">
              <w:rPr>
                <w:rFonts w:ascii="Arial" w:eastAsia="Times New Roman" w:hAnsi="Arial" w:cs="Arial"/>
                <w:color w:val="00B0F0"/>
              </w:rPr>
              <w:t>2.3%</w:t>
            </w:r>
          </w:p>
        </w:tc>
      </w:tr>
    </w:tbl>
    <w:p w14:paraId="1F8E3CA7" w14:textId="40A2FF8C" w:rsidR="008D0DDF" w:rsidRDefault="000E6944" w:rsidP="00624E62">
      <w:pPr>
        <w:rPr>
          <w:rFonts w:ascii="Arial" w:hAnsi="Arial" w:cs="Arial"/>
          <w:szCs w:val="24"/>
        </w:rPr>
      </w:pPr>
      <w:r w:rsidRPr="000E6944">
        <w:rPr>
          <w:noProof/>
        </w:rPr>
        <w:t xml:space="preserve"> </w:t>
      </w:r>
      <w:r w:rsidR="00AA3539">
        <w:rPr>
          <w:noProof/>
        </w:rPr>
        <w:drawing>
          <wp:inline distT="0" distB="0" distL="0" distR="0" wp14:anchorId="48326D6F" wp14:editId="68279EB3">
            <wp:extent cx="6858000" cy="2274073"/>
            <wp:effectExtent l="0" t="0" r="0" b="1206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E1FC7B" w14:textId="5CC02DCB" w:rsidR="000E6944" w:rsidRPr="00C756AD" w:rsidRDefault="000E6944" w:rsidP="00DE73E5">
      <w:pPr>
        <w:spacing w:before="160" w:after="240"/>
        <w:jc w:val="both"/>
        <w:rPr>
          <w:rFonts w:ascii="Arial" w:hAnsi="Arial" w:cs="Arial"/>
          <w:szCs w:val="24"/>
        </w:rPr>
      </w:pPr>
      <w:r w:rsidRPr="00C756AD">
        <w:rPr>
          <w:rFonts w:ascii="Arial" w:hAnsi="Arial" w:cs="Arial"/>
        </w:rPr>
        <w:lastRenderedPageBreak/>
        <w:t>Consumer spending contributed +</w:t>
      </w:r>
      <w:r w:rsidR="00BE6C6A">
        <w:rPr>
          <w:rFonts w:ascii="Arial" w:hAnsi="Arial" w:cs="Arial"/>
        </w:rPr>
        <w:t>2.69</w:t>
      </w:r>
      <w:r w:rsidRPr="00C756AD">
        <w:rPr>
          <w:rFonts w:ascii="Arial" w:hAnsi="Arial" w:cs="Arial"/>
        </w:rPr>
        <w:t xml:space="preserve"> (+1.</w:t>
      </w:r>
      <w:r w:rsidR="00BE6C6A">
        <w:rPr>
          <w:rFonts w:ascii="Arial" w:hAnsi="Arial" w:cs="Arial"/>
        </w:rPr>
        <w:t>5</w:t>
      </w:r>
      <w:r>
        <w:rPr>
          <w:rFonts w:ascii="Arial" w:hAnsi="Arial" w:cs="Arial"/>
        </w:rPr>
        <w:t>6</w:t>
      </w:r>
      <w:r w:rsidRPr="00C756AD">
        <w:rPr>
          <w:rStyle w:val="EndnoteReference"/>
          <w:rFonts w:ascii="Arial" w:hAnsi="Arial" w:cs="Arial"/>
        </w:rPr>
        <w:endnoteReference w:id="2"/>
      </w:r>
      <w:r w:rsidRPr="00C756AD">
        <w:rPr>
          <w:rFonts w:ascii="Arial" w:hAnsi="Arial" w:cs="Arial"/>
        </w:rPr>
        <w:t xml:space="preserve">) percentage points to the measured RGDP growth rate of </w:t>
      </w:r>
      <w:r w:rsidR="00BE6C6A">
        <w:rPr>
          <w:rFonts w:ascii="Arial" w:hAnsi="Arial" w:cs="Arial"/>
        </w:rPr>
        <w:t>4.1</w:t>
      </w:r>
      <w:r w:rsidRPr="00C756AD">
        <w:rPr>
          <w:rFonts w:ascii="Arial" w:hAnsi="Arial" w:cs="Arial"/>
        </w:rPr>
        <w:t xml:space="preserve"> percent. Business non-residential fixed investment, which excludes inventories, contributed +</w:t>
      </w:r>
      <w:r w:rsidR="00BE6C6A">
        <w:rPr>
          <w:rFonts w:ascii="Arial" w:hAnsi="Arial" w:cs="Arial"/>
        </w:rPr>
        <w:t>0.97</w:t>
      </w:r>
      <w:r w:rsidRPr="00C756AD">
        <w:rPr>
          <w:rFonts w:ascii="Arial" w:hAnsi="Arial" w:cs="Arial"/>
        </w:rPr>
        <w:t xml:space="preserve"> (+</w:t>
      </w:r>
      <w:r w:rsidR="00BE6C6A">
        <w:rPr>
          <w:rFonts w:ascii="Arial" w:hAnsi="Arial" w:cs="Arial"/>
        </w:rPr>
        <w:t>0.66</w:t>
      </w:r>
      <w:r w:rsidRPr="00C756AD">
        <w:rPr>
          <w:rFonts w:ascii="Arial" w:hAnsi="Arial" w:cs="Arial"/>
        </w:rPr>
        <w:t xml:space="preserve">) percentage points. Residential investment </w:t>
      </w:r>
      <w:r w:rsidR="00AE08F3">
        <w:rPr>
          <w:rFonts w:ascii="Arial" w:hAnsi="Arial" w:cs="Arial"/>
        </w:rPr>
        <w:t>subtracted</w:t>
      </w:r>
      <w:r w:rsidR="00BE6C6A">
        <w:rPr>
          <w:rFonts w:ascii="Arial" w:hAnsi="Arial" w:cs="Arial"/>
        </w:rPr>
        <w:t xml:space="preserve"> -0.04</w:t>
      </w:r>
      <w:r w:rsidRPr="00C756AD">
        <w:rPr>
          <w:rFonts w:ascii="Arial" w:hAnsi="Arial" w:cs="Arial"/>
        </w:rPr>
        <w:t xml:space="preserve"> (+0.1</w:t>
      </w:r>
      <w:r>
        <w:rPr>
          <w:rFonts w:ascii="Arial" w:hAnsi="Arial" w:cs="Arial"/>
        </w:rPr>
        <w:t>7</w:t>
      </w:r>
      <w:r w:rsidRPr="00C756AD">
        <w:rPr>
          <w:rFonts w:ascii="Arial" w:hAnsi="Arial" w:cs="Arial"/>
        </w:rPr>
        <w:t>)</w:t>
      </w:r>
      <w:r w:rsidR="001D7999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business inventory investment</w:t>
      </w:r>
      <w:r w:rsidRPr="00C756AD">
        <w:rPr>
          <w:rFonts w:ascii="Arial" w:hAnsi="Arial" w:cs="Arial"/>
        </w:rPr>
        <w:t xml:space="preserve"> </w:t>
      </w:r>
      <w:r w:rsidR="00BE6C6A">
        <w:rPr>
          <w:rFonts w:ascii="Arial" w:hAnsi="Arial" w:cs="Arial"/>
        </w:rPr>
        <w:t>-1.00</w:t>
      </w:r>
      <w:r w:rsidR="00796BF2">
        <w:rPr>
          <w:rFonts w:ascii="Arial" w:hAnsi="Arial" w:cs="Arial"/>
        </w:rPr>
        <w:t xml:space="preserve"> (+0.2</w:t>
      </w:r>
      <w:r w:rsidR="00BE6C6A">
        <w:rPr>
          <w:rFonts w:ascii="Arial" w:hAnsi="Arial" w:cs="Arial"/>
        </w:rPr>
        <w:t>1</w:t>
      </w:r>
      <w:r w:rsidRPr="00C756AD">
        <w:rPr>
          <w:rFonts w:ascii="Arial" w:hAnsi="Arial" w:cs="Arial"/>
        </w:rPr>
        <w:t>) percentage points. Increased federal government spending added +</w:t>
      </w:r>
      <w:r w:rsidR="00BE6C6A">
        <w:rPr>
          <w:rFonts w:ascii="Arial" w:hAnsi="Arial" w:cs="Arial"/>
        </w:rPr>
        <w:t>0.22</w:t>
      </w:r>
      <w:r w:rsidRPr="00C756AD">
        <w:rPr>
          <w:rFonts w:ascii="Arial" w:hAnsi="Arial" w:cs="Arial"/>
        </w:rPr>
        <w:t xml:space="preserve"> (-0.</w:t>
      </w:r>
      <w:r>
        <w:rPr>
          <w:rFonts w:ascii="Arial" w:hAnsi="Arial" w:cs="Arial"/>
        </w:rPr>
        <w:t>0</w:t>
      </w:r>
      <w:r w:rsidR="00BE6C6A">
        <w:rPr>
          <w:rFonts w:ascii="Arial" w:hAnsi="Arial" w:cs="Arial"/>
        </w:rPr>
        <w:t>5</w:t>
      </w:r>
      <w:r w:rsidRPr="00C756AD">
        <w:rPr>
          <w:rFonts w:ascii="Arial" w:hAnsi="Arial" w:cs="Arial"/>
        </w:rPr>
        <w:t>) percentage points, while spending by state and local governments contributed +</w:t>
      </w:r>
      <w:r>
        <w:rPr>
          <w:rFonts w:ascii="Arial" w:hAnsi="Arial" w:cs="Arial"/>
        </w:rPr>
        <w:t>0.</w:t>
      </w:r>
      <w:r w:rsidR="00BE6C6A">
        <w:rPr>
          <w:rFonts w:ascii="Arial" w:hAnsi="Arial" w:cs="Arial"/>
        </w:rPr>
        <w:t>15</w:t>
      </w:r>
      <w:r w:rsidRPr="00C756AD">
        <w:rPr>
          <w:rFonts w:ascii="Arial" w:hAnsi="Arial" w:cs="Arial"/>
        </w:rPr>
        <w:t xml:space="preserve"> (-0.0</w:t>
      </w:r>
      <w:r>
        <w:rPr>
          <w:rFonts w:ascii="Arial" w:hAnsi="Arial" w:cs="Arial"/>
        </w:rPr>
        <w:t>7</w:t>
      </w:r>
      <w:r w:rsidRPr="00C756AD">
        <w:rPr>
          <w:rFonts w:ascii="Arial" w:hAnsi="Arial" w:cs="Arial"/>
        </w:rPr>
        <w:t xml:space="preserve">) percentage points. Net exports </w:t>
      </w:r>
      <w:r>
        <w:rPr>
          <w:rFonts w:ascii="Arial" w:hAnsi="Arial" w:cs="Arial"/>
        </w:rPr>
        <w:t>added</w:t>
      </w:r>
      <w:r w:rsidRPr="00C756AD">
        <w:rPr>
          <w:rFonts w:ascii="Arial" w:hAnsi="Arial" w:cs="Arial"/>
        </w:rPr>
        <w:t xml:space="preserve"> </w:t>
      </w:r>
      <w:r w:rsidR="00796BF2">
        <w:rPr>
          <w:rFonts w:ascii="Arial" w:hAnsi="Arial" w:cs="Arial"/>
        </w:rPr>
        <w:t>+</w:t>
      </w:r>
      <w:r w:rsidR="00BE6C6A">
        <w:rPr>
          <w:rFonts w:ascii="Arial" w:hAnsi="Arial" w:cs="Arial"/>
        </w:rPr>
        <w:t>1.06</w:t>
      </w:r>
      <w:r w:rsidRPr="00C756AD">
        <w:rPr>
          <w:rFonts w:ascii="Arial" w:hAnsi="Arial" w:cs="Arial"/>
        </w:rPr>
        <w:t xml:space="preserve"> (-0.</w:t>
      </w:r>
      <w:r w:rsidR="001D7999">
        <w:rPr>
          <w:rFonts w:ascii="Arial" w:hAnsi="Arial" w:cs="Arial"/>
        </w:rPr>
        <w:t>26</w:t>
      </w:r>
      <w:r w:rsidRPr="00C756AD">
        <w:rPr>
          <w:rFonts w:ascii="Arial" w:hAnsi="Arial" w:cs="Arial"/>
        </w:rPr>
        <w:t xml:space="preserve">) percentage points </w:t>
      </w:r>
      <w:r w:rsidR="00D8577D">
        <w:rPr>
          <w:rFonts w:ascii="Arial" w:hAnsi="Arial" w:cs="Arial"/>
        </w:rPr>
        <w:t>to</w:t>
      </w:r>
      <w:r w:rsidRPr="00C756AD">
        <w:rPr>
          <w:rFonts w:ascii="Arial" w:hAnsi="Arial" w:cs="Arial"/>
        </w:rPr>
        <w:t xml:space="preserve"> RGDP growth.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160"/>
        <w:gridCol w:w="1880"/>
        <w:gridCol w:w="1880"/>
        <w:gridCol w:w="1880"/>
      </w:tblGrid>
      <w:tr w:rsidR="002E6D6E" w:rsidRPr="003968A7" w14:paraId="66EFBCCE" w14:textId="77777777" w:rsidTr="002E6D6E">
        <w:trPr>
          <w:trHeight w:val="300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C5BEC2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68A7">
              <w:rPr>
                <w:rFonts w:ascii="Arial" w:eastAsia="Times New Roman" w:hAnsi="Arial" w:cs="Arial"/>
                <w:b/>
                <w:bCs/>
                <w:color w:val="000000"/>
              </w:rPr>
              <w:t>Second Quarter Economic Indicators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33D3D2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68A7">
              <w:rPr>
                <w:rFonts w:ascii="Arial" w:eastAsia="Times New Roman" w:hAnsi="Arial" w:cs="Arial"/>
                <w:b/>
                <w:bCs/>
                <w:color w:val="000000"/>
              </w:rPr>
              <w:t>Apr-18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51F3BB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68A7">
              <w:rPr>
                <w:rFonts w:ascii="Arial" w:eastAsia="Times New Roman" w:hAnsi="Arial" w:cs="Arial"/>
                <w:b/>
                <w:bCs/>
                <w:color w:val="000000"/>
              </w:rPr>
              <w:t>May-18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41F9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68A7">
              <w:rPr>
                <w:rFonts w:ascii="Arial" w:eastAsia="Times New Roman" w:hAnsi="Arial" w:cs="Arial"/>
                <w:b/>
                <w:bCs/>
                <w:color w:val="000000"/>
              </w:rPr>
              <w:t>Jun-18</w:t>
            </w:r>
          </w:p>
        </w:tc>
      </w:tr>
      <w:tr w:rsidR="002E6D6E" w:rsidRPr="003968A7" w14:paraId="696EAF76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2B1264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ISM Manufacturing Index (&gt;50, expansion)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6D3ADB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57.3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77A3B3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58.7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2CFD016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60.2</w:t>
            </w:r>
          </w:p>
        </w:tc>
      </w:tr>
      <w:tr w:rsidR="002E6D6E" w:rsidRPr="003968A7" w14:paraId="68348025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290B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ISM Non-Manufacturing Index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6969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56.8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8F87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58.6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23B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59.1</w:t>
            </w:r>
          </w:p>
        </w:tc>
      </w:tr>
      <w:tr w:rsidR="002E6D6E" w:rsidRPr="003968A7" w14:paraId="671080AD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250CEB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U.S. Trade Balance (millions)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6D686A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968A7">
              <w:rPr>
                <w:rFonts w:ascii="Arial" w:eastAsia="Times New Roman" w:hAnsi="Arial" w:cs="Arial"/>
              </w:rPr>
              <w:t>-46,081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4B8A92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968A7">
              <w:rPr>
                <w:rFonts w:ascii="Arial" w:eastAsia="Times New Roman" w:hAnsi="Arial" w:cs="Arial"/>
              </w:rPr>
              <w:t>-43,053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A0FB146" w14:textId="4368D476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968A7">
              <w:rPr>
                <w:rFonts w:ascii="Arial" w:eastAsia="Times New Roman" w:hAnsi="Arial" w:cs="Arial"/>
              </w:rPr>
              <w:t>N/A</w:t>
            </w:r>
          </w:p>
        </w:tc>
      </w:tr>
      <w:tr w:rsidR="002E6D6E" w:rsidRPr="003968A7" w14:paraId="331B641B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A2A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Retail Sales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FDFC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0.3%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88C8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1.3%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517F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0.5%</w:t>
            </w:r>
          </w:p>
        </w:tc>
      </w:tr>
      <w:tr w:rsidR="002E6D6E" w:rsidRPr="003968A7" w14:paraId="24355E11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DC3A06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Business Inventory-to-Sales Ratio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AAC654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1.35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876FAA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1.34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FD39CDB" w14:textId="6189551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N/A</w:t>
            </w:r>
          </w:p>
        </w:tc>
      </w:tr>
      <w:tr w:rsidR="002E6D6E" w:rsidRPr="003968A7" w14:paraId="07CE091C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8A38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Housing Starts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4A3B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-3.8%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82A4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4.8%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92D0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-12.3%</w:t>
            </w:r>
          </w:p>
        </w:tc>
      </w:tr>
      <w:tr w:rsidR="002E6D6E" w:rsidRPr="003968A7" w14:paraId="47E3E738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403EF5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Durable Goods Orders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BBF0ED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-1.0%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16AF94" w14:textId="382B185B" w:rsidR="002E6D6E" w:rsidRPr="003968A7" w:rsidRDefault="002E6D6E" w:rsidP="006972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-0.</w:t>
            </w:r>
            <w:r w:rsidR="0069721F">
              <w:rPr>
                <w:rFonts w:ascii="Arial" w:eastAsia="Times New Roman" w:hAnsi="Arial" w:cs="Arial"/>
                <w:color w:val="000000"/>
              </w:rPr>
              <w:t>3</w:t>
            </w:r>
            <w:r w:rsidRPr="003968A7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35AA7CC" w14:textId="585D19D2" w:rsidR="002E6D6E" w:rsidRPr="003968A7" w:rsidRDefault="00D91896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1.0%</w:t>
            </w:r>
          </w:p>
        </w:tc>
      </w:tr>
      <w:tr w:rsidR="002E6D6E" w:rsidRPr="003968A7" w14:paraId="12152C92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2C55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Personal Income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7C51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0.2%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F530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0.4%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EA09" w14:textId="4B948ED1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N/A</w:t>
            </w:r>
          </w:p>
        </w:tc>
      </w:tr>
      <w:tr w:rsidR="002E6D6E" w:rsidRPr="003968A7" w14:paraId="257CE498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5B9396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Personal Outlays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39C453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0.5%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2D6E08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0.2%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E3067E" w14:textId="7E36D7B3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N/A</w:t>
            </w:r>
          </w:p>
        </w:tc>
      </w:tr>
      <w:tr w:rsidR="002E6D6E" w:rsidRPr="003968A7" w14:paraId="0084E47F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665F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Nonfarm Payroll Job Growth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2B77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 xml:space="preserve">175,000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7615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 xml:space="preserve">244,000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539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 xml:space="preserve">213,000 </w:t>
            </w:r>
          </w:p>
        </w:tc>
      </w:tr>
      <w:tr w:rsidR="002E6D6E" w:rsidRPr="003968A7" w14:paraId="0FD09589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3E8820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Private Payroll Job Growth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F8D8A4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 xml:space="preserve">174,000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79BE693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 xml:space="preserve">239,000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2E96B92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 xml:space="preserve">202,000 </w:t>
            </w:r>
          </w:p>
        </w:tc>
      </w:tr>
      <w:tr w:rsidR="002E6D6E" w:rsidRPr="003968A7" w14:paraId="03443D7A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65E9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PCE Inflation (12-month change)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7DDF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2.0%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D93C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2.3%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AB23" w14:textId="66814778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N/A</w:t>
            </w:r>
          </w:p>
        </w:tc>
      </w:tr>
      <w:tr w:rsidR="002E6D6E" w:rsidRPr="003968A7" w14:paraId="5119B766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F72A0A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Core PCE Inflation (12-month change)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14AEBC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1.8%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801879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2.0%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53799F2" w14:textId="71197A21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N/A</w:t>
            </w:r>
          </w:p>
        </w:tc>
      </w:tr>
      <w:tr w:rsidR="002E6D6E" w:rsidRPr="003968A7" w14:paraId="5A5E61E1" w14:textId="77777777" w:rsidTr="002E6D6E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D9FC4" w14:textId="77777777" w:rsidR="002E6D6E" w:rsidRPr="003968A7" w:rsidRDefault="002E6D6E" w:rsidP="002E6D6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Consumer Confidence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708A1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125.6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2EDF1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128.8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0E25" w14:textId="77777777" w:rsidR="002E6D6E" w:rsidRPr="003968A7" w:rsidRDefault="002E6D6E" w:rsidP="002E6D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68A7">
              <w:rPr>
                <w:rFonts w:ascii="Arial" w:eastAsia="Times New Roman" w:hAnsi="Arial" w:cs="Arial"/>
                <w:color w:val="000000"/>
              </w:rPr>
              <w:t>126.4</w:t>
            </w:r>
          </w:p>
        </w:tc>
      </w:tr>
    </w:tbl>
    <w:p w14:paraId="755C03E0" w14:textId="77777777" w:rsidR="00DD0E1A" w:rsidRPr="00C756AD" w:rsidRDefault="00DD0E1A" w:rsidP="00B52523">
      <w:pPr>
        <w:spacing w:after="0"/>
        <w:jc w:val="both"/>
        <w:rPr>
          <w:rFonts w:ascii="Arial" w:hAnsi="Arial" w:cs="Arial"/>
          <w:b/>
          <w:szCs w:val="24"/>
        </w:rPr>
      </w:pPr>
    </w:p>
    <w:p w14:paraId="27D415FA" w14:textId="77777777" w:rsidR="00AC04FF" w:rsidRPr="00C756AD" w:rsidRDefault="00DD0E1A" w:rsidP="002159E1">
      <w:pPr>
        <w:spacing w:after="0"/>
        <w:jc w:val="both"/>
        <w:rPr>
          <w:rFonts w:ascii="Arial" w:hAnsi="Arial" w:cs="Arial"/>
        </w:rPr>
      </w:pPr>
      <w:r w:rsidRPr="00C756AD">
        <w:rPr>
          <w:rFonts w:ascii="Arial" w:hAnsi="Arial" w:cs="Arial"/>
          <w:b/>
        </w:rPr>
        <w:t>Context</w:t>
      </w:r>
      <w:r w:rsidR="00AC04FF" w:rsidRPr="00C756AD">
        <w:rPr>
          <w:rFonts w:ascii="Arial" w:hAnsi="Arial" w:cs="Arial"/>
        </w:rPr>
        <w:t xml:space="preserve"> </w:t>
      </w:r>
    </w:p>
    <w:p w14:paraId="71543DC1" w14:textId="3996676C" w:rsidR="003968A7" w:rsidRDefault="003968A7" w:rsidP="002159E1">
      <w:pPr>
        <w:spacing w:after="240"/>
        <w:jc w:val="both"/>
        <w:rPr>
          <w:rFonts w:ascii="Arial" w:hAnsi="Arial" w:cs="Arial"/>
        </w:rPr>
      </w:pPr>
      <w:r w:rsidRPr="00CA1F18">
        <w:rPr>
          <w:rFonts w:ascii="Arial" w:hAnsi="Arial" w:cs="Arial"/>
        </w:rPr>
        <w:t>RGDP growth average</w:t>
      </w:r>
      <w:r w:rsidR="001D7999">
        <w:rPr>
          <w:rFonts w:ascii="Arial" w:hAnsi="Arial" w:cs="Arial"/>
        </w:rPr>
        <w:t>d</w:t>
      </w:r>
      <w:r w:rsidRPr="00CA1F18">
        <w:rPr>
          <w:rFonts w:ascii="Arial" w:hAnsi="Arial" w:cs="Arial"/>
        </w:rPr>
        <w:t xml:space="preserve"> 2.9% over the last five quarters compared to the Obama Administration’s 2.2% recovery average despite </w:t>
      </w:r>
      <w:r w:rsidR="00AE08F3">
        <w:rPr>
          <w:rFonts w:ascii="Arial" w:hAnsi="Arial" w:cs="Arial"/>
        </w:rPr>
        <w:t>its predictions</w:t>
      </w:r>
      <w:r w:rsidRPr="00CA1F18">
        <w:rPr>
          <w:rFonts w:ascii="Arial" w:hAnsi="Arial" w:cs="Arial"/>
        </w:rPr>
        <w:t xml:space="preserve"> that</w:t>
      </w:r>
      <w:r w:rsidR="00AE08F3">
        <w:rPr>
          <w:rFonts w:ascii="Arial" w:hAnsi="Arial" w:cs="Arial"/>
        </w:rPr>
        <w:t xml:space="preserve"> faster</w:t>
      </w:r>
      <w:r w:rsidRPr="00CA1F18">
        <w:rPr>
          <w:rFonts w:ascii="Arial" w:hAnsi="Arial" w:cs="Arial"/>
        </w:rPr>
        <w:t xml:space="preserve"> growth was </w:t>
      </w:r>
      <w:r w:rsidR="00AE08F3">
        <w:rPr>
          <w:rFonts w:ascii="Arial" w:hAnsi="Arial" w:cs="Arial"/>
        </w:rPr>
        <w:t xml:space="preserve">no longer </w:t>
      </w:r>
      <w:r w:rsidR="001D7999">
        <w:rPr>
          <w:rFonts w:ascii="Arial" w:hAnsi="Arial" w:cs="Arial"/>
        </w:rPr>
        <w:t>attainable</w:t>
      </w:r>
      <w:r w:rsidRPr="00CA1F18">
        <w:rPr>
          <w:rFonts w:ascii="Arial" w:hAnsi="Arial" w:cs="Arial"/>
        </w:rPr>
        <w:t>.</w:t>
      </w:r>
      <w:r w:rsidR="00D8577D">
        <w:rPr>
          <w:rFonts w:ascii="Arial" w:hAnsi="Arial" w:cs="Arial"/>
        </w:rPr>
        <w:t xml:space="preserve"> For the first half</w:t>
      </w:r>
      <w:r w:rsidR="00DF0116">
        <w:rPr>
          <w:rFonts w:ascii="Arial" w:hAnsi="Arial" w:cs="Arial"/>
        </w:rPr>
        <w:t xml:space="preserve"> of 2018 real disposable income</w:t>
      </w:r>
      <w:r w:rsidR="00D8577D">
        <w:rPr>
          <w:rFonts w:ascii="Arial" w:hAnsi="Arial" w:cs="Arial"/>
        </w:rPr>
        <w:t xml:space="preserve"> </w:t>
      </w:r>
      <w:r w:rsidR="00DF0116">
        <w:rPr>
          <w:rFonts w:ascii="Arial" w:hAnsi="Arial" w:cs="Arial"/>
        </w:rPr>
        <w:t>grew</w:t>
      </w:r>
      <w:r w:rsidR="00D8577D">
        <w:rPr>
          <w:rFonts w:ascii="Arial" w:hAnsi="Arial" w:cs="Arial"/>
        </w:rPr>
        <w:t xml:space="preserve"> 3.5% compared with </w:t>
      </w:r>
      <w:r w:rsidR="00DF0116">
        <w:rPr>
          <w:rFonts w:ascii="Arial" w:hAnsi="Arial" w:cs="Arial"/>
        </w:rPr>
        <w:t>a</w:t>
      </w:r>
      <w:r w:rsidR="00D8577D">
        <w:rPr>
          <w:rFonts w:ascii="Arial" w:hAnsi="Arial" w:cs="Arial"/>
        </w:rPr>
        <w:t xml:space="preserve"> 2.3%</w:t>
      </w:r>
      <w:r w:rsidR="00DF0116">
        <w:rPr>
          <w:rFonts w:ascii="Arial" w:hAnsi="Arial" w:cs="Arial"/>
        </w:rPr>
        <w:t xml:space="preserve"> Obama</w:t>
      </w:r>
      <w:r w:rsidR="00D8577D">
        <w:rPr>
          <w:rFonts w:ascii="Arial" w:hAnsi="Arial" w:cs="Arial"/>
        </w:rPr>
        <w:t xml:space="preserve"> recovery average.</w:t>
      </w:r>
      <w:r w:rsidRPr="00CA1F18">
        <w:rPr>
          <w:rFonts w:ascii="Arial" w:hAnsi="Arial" w:cs="Arial"/>
        </w:rPr>
        <w:t xml:space="preserve"> The improved economic </w:t>
      </w:r>
      <w:r w:rsidR="00EC6092">
        <w:rPr>
          <w:rFonts w:ascii="Arial" w:hAnsi="Arial" w:cs="Arial"/>
        </w:rPr>
        <w:t>outlook reaffirms</w:t>
      </w:r>
      <w:r w:rsidRPr="00CA1F18">
        <w:rPr>
          <w:rFonts w:ascii="Arial" w:hAnsi="Arial" w:cs="Arial"/>
        </w:rPr>
        <w:t xml:space="preserve"> </w:t>
      </w:r>
      <w:r w:rsidR="00AE08F3">
        <w:rPr>
          <w:rFonts w:ascii="Arial" w:hAnsi="Arial" w:cs="Arial"/>
        </w:rPr>
        <w:t>t</w:t>
      </w:r>
      <w:r w:rsidR="00EC6092">
        <w:rPr>
          <w:rFonts w:ascii="Arial" w:hAnsi="Arial" w:cs="Arial"/>
        </w:rPr>
        <w:t>hat</w:t>
      </w:r>
      <w:r w:rsidRPr="00CA1F18">
        <w:rPr>
          <w:rFonts w:ascii="Arial" w:hAnsi="Arial" w:cs="Arial"/>
        </w:rPr>
        <w:t xml:space="preserve"> </w:t>
      </w:r>
      <w:r w:rsidR="00EC6092">
        <w:rPr>
          <w:rFonts w:ascii="Arial" w:hAnsi="Arial" w:cs="Arial"/>
        </w:rPr>
        <w:t>curtailing</w:t>
      </w:r>
      <w:r w:rsidRPr="00CA1F18">
        <w:rPr>
          <w:rFonts w:ascii="Arial" w:hAnsi="Arial" w:cs="Arial"/>
        </w:rPr>
        <w:t xml:space="preserve"> excessive regulation and pro-growth tax reform </w:t>
      </w:r>
      <w:r w:rsidR="00AE08F3">
        <w:rPr>
          <w:rFonts w:ascii="Arial" w:hAnsi="Arial" w:cs="Arial"/>
        </w:rPr>
        <w:t>can</w:t>
      </w:r>
      <w:r w:rsidR="00EC6092">
        <w:rPr>
          <w:rFonts w:ascii="Arial" w:hAnsi="Arial" w:cs="Arial"/>
        </w:rPr>
        <w:t xml:space="preserve"> </w:t>
      </w:r>
      <w:r w:rsidR="00AE08F3">
        <w:rPr>
          <w:rFonts w:ascii="Arial" w:hAnsi="Arial" w:cs="Arial"/>
        </w:rPr>
        <w:t>jumpstart</w:t>
      </w:r>
      <w:r w:rsidR="00EC6092">
        <w:rPr>
          <w:rFonts w:ascii="Arial" w:hAnsi="Arial" w:cs="Arial"/>
        </w:rPr>
        <w:t xml:space="preserve"> a</w:t>
      </w:r>
      <w:r w:rsidRPr="00CA1F18">
        <w:rPr>
          <w:rFonts w:ascii="Arial" w:hAnsi="Arial" w:cs="Arial"/>
        </w:rPr>
        <w:t xml:space="preserve"> </w:t>
      </w:r>
      <w:r w:rsidR="00EC6092">
        <w:rPr>
          <w:rFonts w:ascii="Arial" w:hAnsi="Arial" w:cs="Arial"/>
        </w:rPr>
        <w:t>stagnating</w:t>
      </w:r>
      <w:r w:rsidR="00EC6092" w:rsidRPr="00CA1F18">
        <w:rPr>
          <w:rFonts w:ascii="Arial" w:hAnsi="Arial" w:cs="Arial"/>
        </w:rPr>
        <w:t xml:space="preserve"> </w:t>
      </w:r>
      <w:r w:rsidRPr="00CA1F18">
        <w:rPr>
          <w:rFonts w:ascii="Arial" w:hAnsi="Arial" w:cs="Arial"/>
        </w:rPr>
        <w:t>economy</w:t>
      </w:r>
      <w:r w:rsidR="00AE08F3">
        <w:rPr>
          <w:rFonts w:ascii="Arial" w:hAnsi="Arial" w:cs="Arial"/>
        </w:rPr>
        <w:t>, as</w:t>
      </w:r>
      <w:r w:rsidR="00AE08F3" w:rsidRPr="00AE08F3">
        <w:rPr>
          <w:rFonts w:ascii="Arial" w:hAnsi="Arial" w:cs="Arial"/>
        </w:rPr>
        <w:t xml:space="preserve"> </w:t>
      </w:r>
      <w:r w:rsidR="00AE08F3">
        <w:rPr>
          <w:rFonts w:ascii="Arial" w:hAnsi="Arial" w:cs="Arial"/>
        </w:rPr>
        <w:t>the</w:t>
      </w:r>
      <w:r w:rsidR="00AE08F3" w:rsidRPr="00CA1F18">
        <w:rPr>
          <w:rFonts w:ascii="Arial" w:hAnsi="Arial" w:cs="Arial"/>
        </w:rPr>
        <w:t xml:space="preserve"> Reagan Administration </w:t>
      </w:r>
      <w:r w:rsidR="00AE08F3">
        <w:rPr>
          <w:rFonts w:ascii="Arial" w:hAnsi="Arial" w:cs="Arial"/>
        </w:rPr>
        <w:t>demonstrated in the</w:t>
      </w:r>
      <w:r w:rsidR="00AE08F3" w:rsidRPr="00CA1F18">
        <w:rPr>
          <w:rFonts w:ascii="Arial" w:hAnsi="Arial" w:cs="Arial"/>
        </w:rPr>
        <w:t xml:space="preserve"> 1980s</w:t>
      </w:r>
      <w:r w:rsidR="00AE08F3">
        <w:rPr>
          <w:rFonts w:ascii="Arial" w:hAnsi="Arial" w:cs="Arial"/>
        </w:rPr>
        <w:t>.</w:t>
      </w:r>
    </w:p>
    <w:p w14:paraId="16A88430" w14:textId="468A673B" w:rsidR="00731D14" w:rsidRPr="00CA1F18" w:rsidRDefault="00AE08F3" w:rsidP="002159E1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Some </w:t>
      </w:r>
      <w:r w:rsidR="00731D14">
        <w:rPr>
          <w:rFonts w:ascii="Arial" w:hAnsi="Arial" w:cs="Arial"/>
        </w:rPr>
        <w:t>claim that workers’ real wages are stagnating</w:t>
      </w:r>
      <w:r>
        <w:rPr>
          <w:rFonts w:ascii="Arial" w:hAnsi="Arial" w:cs="Arial"/>
        </w:rPr>
        <w:t>, but</w:t>
      </w:r>
      <w:r w:rsidR="00731D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731D14">
        <w:rPr>
          <w:rFonts w:ascii="Arial" w:hAnsi="Arial" w:cs="Arial"/>
        </w:rPr>
        <w:t xml:space="preserve"> more careful </w:t>
      </w:r>
      <w:hyperlink r:id="rId13" w:history="1">
        <w:r w:rsidR="00731D14" w:rsidRPr="0093291F">
          <w:rPr>
            <w:rStyle w:val="Hyperlink"/>
            <w:rFonts w:ascii="Arial" w:hAnsi="Arial" w:cs="Arial"/>
          </w:rPr>
          <w:t>analysis</w:t>
        </w:r>
      </w:hyperlink>
      <w:r w:rsidR="00731D14">
        <w:rPr>
          <w:rFonts w:ascii="Arial" w:hAnsi="Arial" w:cs="Arial"/>
        </w:rPr>
        <w:t xml:space="preserve"> shows employee compensation—measured </w:t>
      </w:r>
      <w:r>
        <w:rPr>
          <w:rFonts w:ascii="Arial" w:hAnsi="Arial" w:cs="Arial"/>
        </w:rPr>
        <w:t xml:space="preserve">in full </w:t>
      </w:r>
      <w:r w:rsidR="00731D14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properly </w:t>
      </w:r>
      <w:r w:rsidR="00731D14">
        <w:rPr>
          <w:rFonts w:ascii="Arial" w:hAnsi="Arial" w:cs="Arial"/>
        </w:rPr>
        <w:t xml:space="preserve">adjusted for inflation—continues to </w:t>
      </w:r>
      <w:r>
        <w:rPr>
          <w:rFonts w:ascii="Arial" w:hAnsi="Arial" w:cs="Arial"/>
        </w:rPr>
        <w:t>rise</w:t>
      </w:r>
      <w:r w:rsidR="00731D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</w:t>
      </w:r>
      <w:r w:rsidR="00731D14">
        <w:rPr>
          <w:rFonts w:ascii="Arial" w:hAnsi="Arial" w:cs="Arial"/>
        </w:rPr>
        <w:t xml:space="preserve">orkers </w:t>
      </w:r>
      <w:r>
        <w:rPr>
          <w:rFonts w:ascii="Arial" w:hAnsi="Arial" w:cs="Arial"/>
        </w:rPr>
        <w:t xml:space="preserve">are </w:t>
      </w:r>
      <w:r w:rsidR="00731D14">
        <w:rPr>
          <w:rFonts w:ascii="Arial" w:hAnsi="Arial" w:cs="Arial"/>
        </w:rPr>
        <w:t>keep</w:t>
      </w:r>
      <w:r>
        <w:rPr>
          <w:rFonts w:ascii="Arial" w:hAnsi="Arial" w:cs="Arial"/>
        </w:rPr>
        <w:t>ing</w:t>
      </w:r>
      <w:r w:rsidR="00731D14">
        <w:rPr>
          <w:rFonts w:ascii="Arial" w:hAnsi="Arial" w:cs="Arial"/>
        </w:rPr>
        <w:t xml:space="preserve"> more of their paychecks thanks to lower tax rates and more people are working. </w:t>
      </w:r>
      <w:r>
        <w:rPr>
          <w:rFonts w:ascii="Arial" w:hAnsi="Arial" w:cs="Arial"/>
        </w:rPr>
        <w:t>B</w:t>
      </w:r>
      <w:r w:rsidR="00731D14">
        <w:rPr>
          <w:rFonts w:ascii="Arial" w:hAnsi="Arial" w:cs="Arial"/>
        </w:rPr>
        <w:t xml:space="preserve">urgeoning economic growth is leading people who had relied on disability insurance for their livelihood to </w:t>
      </w:r>
      <w:hyperlink r:id="rId14" w:history="1">
        <w:r w:rsidR="00731D14" w:rsidRPr="0093291F">
          <w:rPr>
            <w:rStyle w:val="Hyperlink"/>
            <w:rFonts w:ascii="Arial" w:hAnsi="Arial" w:cs="Arial"/>
          </w:rPr>
          <w:t>reenter the workforce in droves</w:t>
        </w:r>
      </w:hyperlink>
      <w:r w:rsidR="00731D14">
        <w:rPr>
          <w:rFonts w:ascii="Arial" w:hAnsi="Arial" w:cs="Arial"/>
        </w:rPr>
        <w:t>.</w:t>
      </w:r>
    </w:p>
    <w:p w14:paraId="54B044D4" w14:textId="04F612E1" w:rsidR="00CA1F18" w:rsidRPr="00731D14" w:rsidRDefault="00DD0E1A" w:rsidP="00731D14">
      <w:pPr>
        <w:spacing w:after="0"/>
        <w:jc w:val="both"/>
        <w:rPr>
          <w:rFonts w:ascii="Arial" w:hAnsi="Arial" w:cs="Arial"/>
          <w:szCs w:val="24"/>
        </w:rPr>
      </w:pPr>
      <w:r w:rsidRPr="00C756AD">
        <w:rPr>
          <w:rFonts w:ascii="Arial" w:hAnsi="Arial" w:cs="Arial"/>
          <w:b/>
          <w:szCs w:val="24"/>
        </w:rPr>
        <w:t>Noteworthy</w:t>
      </w:r>
    </w:p>
    <w:p w14:paraId="359D212F" w14:textId="4375B29D" w:rsidR="0093291F" w:rsidRPr="00EC6092" w:rsidRDefault="00EC6092" w:rsidP="006D0713">
      <w:pPr>
        <w:spacing w:after="240"/>
        <w:jc w:val="both"/>
        <w:rPr>
          <w:rFonts w:ascii="Arial" w:hAnsi="Arial" w:cs="Arial"/>
        </w:rPr>
      </w:pPr>
      <w:r w:rsidRPr="00EC6092">
        <w:rPr>
          <w:rFonts w:ascii="Arial" w:hAnsi="Arial" w:cs="Arial"/>
        </w:rPr>
        <w:t>Large</w:t>
      </w:r>
      <w:r w:rsidR="0093291F" w:rsidRPr="00EC6092">
        <w:rPr>
          <w:rFonts w:ascii="Arial" w:hAnsi="Arial" w:cs="Arial"/>
        </w:rPr>
        <w:t xml:space="preserve"> movement </w:t>
      </w:r>
      <w:r w:rsidR="0093291F" w:rsidRPr="00EC6092">
        <w:rPr>
          <w:rFonts w:ascii="Arial" w:hAnsi="Arial" w:cs="Arial"/>
          <w:i/>
        </w:rPr>
        <w:t>within</w:t>
      </w:r>
      <w:r w:rsidR="0093291F" w:rsidRPr="00EC6092">
        <w:rPr>
          <w:rFonts w:ascii="Arial" w:hAnsi="Arial" w:cs="Arial"/>
        </w:rPr>
        <w:t xml:space="preserve"> the GDP numbers was attributed to </w:t>
      </w:r>
      <w:r w:rsidRPr="00EC6092">
        <w:rPr>
          <w:rFonts w:ascii="Arial" w:hAnsi="Arial" w:cs="Arial"/>
        </w:rPr>
        <w:t>soybean</w:t>
      </w:r>
      <w:r w:rsidR="0093291F" w:rsidRPr="00EC6092">
        <w:rPr>
          <w:rFonts w:ascii="Arial" w:hAnsi="Arial" w:cs="Arial"/>
        </w:rPr>
        <w:t xml:space="preserve"> inventories </w:t>
      </w:r>
      <w:r w:rsidR="00AE08F3">
        <w:rPr>
          <w:rFonts w:ascii="Arial" w:hAnsi="Arial" w:cs="Arial"/>
        </w:rPr>
        <w:t>being</w:t>
      </w:r>
      <w:r w:rsidR="0093291F" w:rsidRPr="00EC6092">
        <w:rPr>
          <w:rFonts w:ascii="Arial" w:hAnsi="Arial" w:cs="Arial"/>
        </w:rPr>
        <w:t xml:space="preserve"> drawn down significantly </w:t>
      </w:r>
      <w:r w:rsidR="00AE08F3">
        <w:rPr>
          <w:rFonts w:ascii="Arial" w:hAnsi="Arial" w:cs="Arial"/>
        </w:rPr>
        <w:t>for export</w:t>
      </w:r>
      <w:r w:rsidR="0093291F" w:rsidRPr="00EC6092">
        <w:rPr>
          <w:rFonts w:ascii="Arial" w:hAnsi="Arial" w:cs="Arial"/>
        </w:rPr>
        <w:t>. This partly accounts for the large decrease in private inventories and</w:t>
      </w:r>
      <w:r w:rsidR="00AE08F3">
        <w:rPr>
          <w:rFonts w:ascii="Arial" w:hAnsi="Arial" w:cs="Arial"/>
        </w:rPr>
        <w:t xml:space="preserve"> the</w:t>
      </w:r>
      <w:r w:rsidR="0093291F" w:rsidRPr="00EC6092">
        <w:rPr>
          <w:rFonts w:ascii="Arial" w:hAnsi="Arial" w:cs="Arial"/>
        </w:rPr>
        <w:t xml:space="preserve"> large increase in exports.</w:t>
      </w:r>
    </w:p>
    <w:p w14:paraId="6749406C" w14:textId="457F0DE9" w:rsidR="0093291F" w:rsidRPr="00EC6092" w:rsidRDefault="0093291F" w:rsidP="006D0713">
      <w:pPr>
        <w:spacing w:after="240"/>
        <w:jc w:val="both"/>
        <w:rPr>
          <w:rFonts w:ascii="Arial" w:hAnsi="Arial" w:cs="Arial"/>
        </w:rPr>
      </w:pPr>
      <w:r w:rsidRPr="00EC6092">
        <w:rPr>
          <w:rFonts w:ascii="Arial" w:hAnsi="Arial" w:cs="Arial"/>
        </w:rPr>
        <w:t xml:space="preserve">This GDP report included BEA’s comprehensive update, which occurs about </w:t>
      </w:r>
      <w:r w:rsidR="00EC6092" w:rsidRPr="00EC6092">
        <w:rPr>
          <w:rFonts w:ascii="Arial" w:hAnsi="Arial" w:cs="Arial"/>
        </w:rPr>
        <w:t xml:space="preserve">every 5 years. BEA </w:t>
      </w:r>
      <w:r w:rsidR="009310B3">
        <w:rPr>
          <w:rFonts w:ascii="Arial" w:hAnsi="Arial" w:cs="Arial"/>
        </w:rPr>
        <w:t>addressed</w:t>
      </w:r>
      <w:r w:rsidR="00EC6092" w:rsidRPr="00EC6092">
        <w:rPr>
          <w:rFonts w:ascii="Arial" w:hAnsi="Arial" w:cs="Arial"/>
        </w:rPr>
        <w:t xml:space="preserve"> “residual seasonality” </w:t>
      </w:r>
      <w:r w:rsidR="009310B3">
        <w:rPr>
          <w:rFonts w:ascii="Arial" w:hAnsi="Arial" w:cs="Arial"/>
        </w:rPr>
        <w:t>in its data, which allowed some regular</w:t>
      </w:r>
      <w:r w:rsidR="00EC6092" w:rsidRPr="00EC6092">
        <w:rPr>
          <w:rFonts w:ascii="Arial" w:hAnsi="Arial" w:cs="Arial"/>
        </w:rPr>
        <w:t xml:space="preserve"> seasonal fluctuations in </w:t>
      </w:r>
      <w:r w:rsidR="009310B3">
        <w:rPr>
          <w:rFonts w:ascii="Arial" w:hAnsi="Arial" w:cs="Arial"/>
        </w:rPr>
        <w:t>various</w:t>
      </w:r>
      <w:r w:rsidR="00EC6092" w:rsidRPr="00EC6092">
        <w:rPr>
          <w:rFonts w:ascii="Arial" w:hAnsi="Arial" w:cs="Arial"/>
        </w:rPr>
        <w:t xml:space="preserve"> components of spending </w:t>
      </w:r>
      <w:r w:rsidR="009310B3">
        <w:rPr>
          <w:rFonts w:ascii="Arial" w:hAnsi="Arial" w:cs="Arial"/>
        </w:rPr>
        <w:t>to affect</w:t>
      </w:r>
      <w:r w:rsidR="00EC6092" w:rsidRPr="00EC6092">
        <w:rPr>
          <w:rFonts w:ascii="Arial" w:hAnsi="Arial" w:cs="Arial"/>
        </w:rPr>
        <w:t xml:space="preserve"> GDP estimates. This was especially acute in post-2010 Q1 numbers. </w:t>
      </w:r>
      <w:r w:rsidR="009310B3">
        <w:rPr>
          <w:rFonts w:ascii="Arial" w:hAnsi="Arial" w:cs="Arial"/>
        </w:rPr>
        <w:t>New seasonal adjustments</w:t>
      </w:r>
      <w:r w:rsidR="00EC6092" w:rsidRPr="00EC6092">
        <w:rPr>
          <w:rFonts w:ascii="Arial" w:hAnsi="Arial" w:cs="Arial"/>
        </w:rPr>
        <w:t xml:space="preserve"> led to an average upward revision of Q1 numbers since 2010 </w:t>
      </w:r>
      <w:r w:rsidR="009310B3">
        <w:rPr>
          <w:rFonts w:ascii="Arial" w:hAnsi="Arial" w:cs="Arial"/>
        </w:rPr>
        <w:t>of</w:t>
      </w:r>
      <w:r w:rsidR="00EC6092" w:rsidRPr="00EC6092">
        <w:rPr>
          <w:rFonts w:ascii="Arial" w:hAnsi="Arial" w:cs="Arial"/>
        </w:rPr>
        <w:t xml:space="preserve"> 0.4 percentage points.</w:t>
      </w:r>
    </w:p>
    <w:p w14:paraId="4B468AE2" w14:textId="1D5CC40F" w:rsidR="00431AA2" w:rsidRPr="00EC6092" w:rsidRDefault="00DE73E5" w:rsidP="006D0713">
      <w:pPr>
        <w:spacing w:after="240"/>
        <w:jc w:val="both"/>
        <w:rPr>
          <w:rFonts w:ascii="Arial" w:hAnsi="Arial" w:cs="Arial"/>
        </w:rPr>
      </w:pPr>
      <w:r w:rsidRPr="00EC6092">
        <w:rPr>
          <w:rFonts w:ascii="Arial" w:hAnsi="Arial" w:cs="Arial"/>
        </w:rPr>
        <w:t>Two updates</w:t>
      </w:r>
      <w:r w:rsidR="00431AA2" w:rsidRPr="00EC6092">
        <w:rPr>
          <w:rFonts w:ascii="Arial" w:hAnsi="Arial" w:cs="Arial"/>
        </w:rPr>
        <w:t xml:space="preserve"> to</w:t>
      </w:r>
      <w:r w:rsidRPr="00EC6092">
        <w:rPr>
          <w:rFonts w:ascii="Arial" w:hAnsi="Arial" w:cs="Arial"/>
        </w:rPr>
        <w:t xml:space="preserve"> </w:t>
      </w:r>
      <w:r w:rsidR="00431AA2" w:rsidRPr="00EC6092">
        <w:rPr>
          <w:rFonts w:ascii="Arial" w:hAnsi="Arial" w:cs="Arial"/>
        </w:rPr>
        <w:t>this</w:t>
      </w:r>
      <w:r w:rsidRPr="00EC6092">
        <w:rPr>
          <w:rFonts w:ascii="Arial" w:hAnsi="Arial" w:cs="Arial"/>
        </w:rPr>
        <w:t xml:space="preserve"> </w:t>
      </w:r>
      <w:r w:rsidR="00431AA2" w:rsidRPr="00EC6092">
        <w:rPr>
          <w:rFonts w:ascii="Arial" w:hAnsi="Arial" w:cs="Arial"/>
        </w:rPr>
        <w:t>Q2</w:t>
      </w:r>
      <w:r w:rsidRPr="00EC6092">
        <w:rPr>
          <w:rFonts w:ascii="Arial" w:hAnsi="Arial" w:cs="Arial"/>
        </w:rPr>
        <w:t xml:space="preserve"> GDP</w:t>
      </w:r>
      <w:r w:rsidR="00431AA2" w:rsidRPr="00EC6092">
        <w:rPr>
          <w:rFonts w:ascii="Arial" w:hAnsi="Arial" w:cs="Arial"/>
        </w:rPr>
        <w:t xml:space="preserve"> estimate</w:t>
      </w:r>
      <w:r w:rsidRPr="00EC6092">
        <w:rPr>
          <w:rFonts w:ascii="Arial" w:hAnsi="Arial" w:cs="Arial"/>
        </w:rPr>
        <w:t xml:space="preserve"> are scheduled</w:t>
      </w:r>
      <w:r w:rsidR="00431AA2" w:rsidRPr="00EC6092">
        <w:rPr>
          <w:rFonts w:ascii="Arial" w:hAnsi="Arial" w:cs="Arial"/>
        </w:rPr>
        <w:t xml:space="preserve"> by BEA</w:t>
      </w:r>
      <w:r w:rsidRPr="00EC6092">
        <w:rPr>
          <w:rFonts w:ascii="Arial" w:hAnsi="Arial" w:cs="Arial"/>
        </w:rPr>
        <w:t xml:space="preserve"> for </w:t>
      </w:r>
      <w:r w:rsidR="00431AA2" w:rsidRPr="00EC6092">
        <w:rPr>
          <w:rFonts w:ascii="Arial" w:hAnsi="Arial" w:cs="Arial"/>
        </w:rPr>
        <w:t>August</w:t>
      </w:r>
      <w:r w:rsidRPr="00EC6092">
        <w:rPr>
          <w:rFonts w:ascii="Arial" w:hAnsi="Arial" w:cs="Arial"/>
        </w:rPr>
        <w:t xml:space="preserve"> </w:t>
      </w:r>
      <w:r w:rsidR="00431AA2" w:rsidRPr="00EC6092">
        <w:rPr>
          <w:rFonts w:ascii="Arial" w:hAnsi="Arial" w:cs="Arial"/>
        </w:rPr>
        <w:t>29</w:t>
      </w:r>
      <w:r w:rsidRPr="00EC6092">
        <w:rPr>
          <w:rFonts w:ascii="Arial" w:hAnsi="Arial" w:cs="Arial"/>
        </w:rPr>
        <w:t xml:space="preserve"> and </w:t>
      </w:r>
      <w:r w:rsidR="00431AA2" w:rsidRPr="00EC6092">
        <w:rPr>
          <w:rFonts w:ascii="Arial" w:hAnsi="Arial" w:cs="Arial"/>
        </w:rPr>
        <w:t>September 27</w:t>
      </w:r>
      <w:r w:rsidRPr="00EC6092">
        <w:rPr>
          <w:rFonts w:ascii="Arial" w:hAnsi="Arial" w:cs="Arial"/>
        </w:rPr>
        <w:t>. The Q</w:t>
      </w:r>
      <w:r w:rsidR="00431AA2" w:rsidRPr="00EC6092">
        <w:rPr>
          <w:rFonts w:ascii="Arial" w:hAnsi="Arial" w:cs="Arial"/>
        </w:rPr>
        <w:t>3</w:t>
      </w:r>
      <w:r w:rsidRPr="00EC6092">
        <w:rPr>
          <w:rFonts w:ascii="Arial" w:hAnsi="Arial" w:cs="Arial"/>
        </w:rPr>
        <w:t xml:space="preserve">-2018 GDP report is scheduled for </w:t>
      </w:r>
      <w:r w:rsidR="00431AA2" w:rsidRPr="00EC6092">
        <w:rPr>
          <w:rFonts w:ascii="Arial" w:hAnsi="Arial" w:cs="Arial"/>
        </w:rPr>
        <w:t>release on October 26</w:t>
      </w:r>
      <w:r w:rsidRPr="00EC6092">
        <w:rPr>
          <w:rFonts w:ascii="Arial" w:hAnsi="Arial" w:cs="Arial"/>
        </w:rPr>
        <w:t xml:space="preserve"> at 8:30am</w:t>
      </w:r>
      <w:r w:rsidR="00431AA2" w:rsidRPr="00EC6092">
        <w:rPr>
          <w:rFonts w:ascii="Arial" w:hAnsi="Arial" w:cs="Arial"/>
        </w:rPr>
        <w:t>.</w:t>
      </w:r>
    </w:p>
    <w:sectPr w:rsidR="00431AA2" w:rsidRPr="00EC6092" w:rsidSect="00FC370D">
      <w:footnotePr>
        <w:numFmt w:val="chicago"/>
      </w:footnotePr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18F2C" w14:textId="77777777" w:rsidR="00202E63" w:rsidRDefault="00202E63" w:rsidP="00E143B9">
      <w:pPr>
        <w:spacing w:after="0" w:line="240" w:lineRule="auto"/>
      </w:pPr>
      <w:r>
        <w:separator/>
      </w:r>
    </w:p>
  </w:endnote>
  <w:endnote w:type="continuationSeparator" w:id="0">
    <w:p w14:paraId="77FDCFD1" w14:textId="77777777" w:rsidR="00202E63" w:rsidRDefault="00202E63" w:rsidP="00E143B9">
      <w:pPr>
        <w:spacing w:after="0" w:line="240" w:lineRule="auto"/>
      </w:pPr>
      <w:r>
        <w:continuationSeparator/>
      </w:r>
    </w:p>
  </w:endnote>
  <w:endnote w:id="1">
    <w:p w14:paraId="66B946E4" w14:textId="3608E991" w:rsidR="00E173F8" w:rsidRPr="009310B3" w:rsidRDefault="00E173F8">
      <w:pPr>
        <w:pStyle w:val="EndnoteText"/>
        <w:rPr>
          <w:rFonts w:ascii="Arial" w:hAnsi="Arial" w:cs="Arial"/>
          <w:sz w:val="18"/>
          <w:szCs w:val="16"/>
        </w:rPr>
      </w:pPr>
      <w:r w:rsidRPr="009310B3">
        <w:rPr>
          <w:rStyle w:val="EndnoteReference"/>
          <w:rFonts w:ascii="Arial" w:hAnsi="Arial" w:cs="Arial"/>
          <w:sz w:val="18"/>
          <w:szCs w:val="16"/>
        </w:rPr>
        <w:endnoteRef/>
      </w:r>
      <w:r w:rsidRPr="009310B3">
        <w:rPr>
          <w:rFonts w:ascii="Arial" w:hAnsi="Arial" w:cs="Arial"/>
          <w:sz w:val="18"/>
          <w:szCs w:val="16"/>
        </w:rPr>
        <w:t xml:space="preserve"> Quarterly numbers are reported here at annual rates unless stated otherwise. An annual rate for a quarter means BEA calculated the change from the previous quarter as if it occurred throughout a year.</w:t>
      </w:r>
    </w:p>
  </w:endnote>
  <w:endnote w:id="2">
    <w:p w14:paraId="67A9CA0F" w14:textId="77777777" w:rsidR="000E6944" w:rsidRDefault="000E6944" w:rsidP="000E6944">
      <w:pPr>
        <w:pStyle w:val="EndnoteText"/>
      </w:pPr>
      <w:r w:rsidRPr="009310B3">
        <w:rPr>
          <w:rStyle w:val="EndnoteReference"/>
          <w:rFonts w:ascii="Arial" w:hAnsi="Arial" w:cs="Arial"/>
          <w:sz w:val="18"/>
          <w:szCs w:val="16"/>
        </w:rPr>
        <w:endnoteRef/>
      </w:r>
      <w:r w:rsidRPr="009310B3">
        <w:rPr>
          <w:rFonts w:ascii="Arial" w:hAnsi="Arial" w:cs="Arial"/>
          <w:sz w:val="18"/>
          <w:szCs w:val="16"/>
        </w:rPr>
        <w:t xml:space="preserve"> A component’s average contribution to RGDP growth during this economic expansion, which began Q3-2009, is shown inside the parentheses.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572B8" w14:textId="77777777" w:rsidR="00202E63" w:rsidRDefault="00202E63" w:rsidP="00E143B9">
      <w:pPr>
        <w:spacing w:after="0" w:line="240" w:lineRule="auto"/>
      </w:pPr>
      <w:r>
        <w:separator/>
      </w:r>
    </w:p>
  </w:footnote>
  <w:footnote w:type="continuationSeparator" w:id="0">
    <w:p w14:paraId="3B819890" w14:textId="77777777" w:rsidR="00202E63" w:rsidRDefault="00202E63" w:rsidP="00E14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212C"/>
    <w:multiLevelType w:val="hybridMultilevel"/>
    <w:tmpl w:val="BA8656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083B8A"/>
    <w:multiLevelType w:val="hybridMultilevel"/>
    <w:tmpl w:val="B5C2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869FD"/>
    <w:multiLevelType w:val="hybridMultilevel"/>
    <w:tmpl w:val="AD541B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2512E"/>
    <w:multiLevelType w:val="hybridMultilevel"/>
    <w:tmpl w:val="16FC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72778"/>
    <w:multiLevelType w:val="hybridMultilevel"/>
    <w:tmpl w:val="DC8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87C5F"/>
    <w:multiLevelType w:val="hybridMultilevel"/>
    <w:tmpl w:val="5E28AA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hideSpellingErrors/>
  <w:hideGrammaticalErrors/>
  <w:defaultTabStop w:val="720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04"/>
    <w:rsid w:val="00012D74"/>
    <w:rsid w:val="00023938"/>
    <w:rsid w:val="00036801"/>
    <w:rsid w:val="00041C44"/>
    <w:rsid w:val="000423DD"/>
    <w:rsid w:val="00043297"/>
    <w:rsid w:val="00050FC0"/>
    <w:rsid w:val="00076BCE"/>
    <w:rsid w:val="00083F95"/>
    <w:rsid w:val="000869D2"/>
    <w:rsid w:val="00087F0D"/>
    <w:rsid w:val="000930AD"/>
    <w:rsid w:val="00093B0D"/>
    <w:rsid w:val="000A58A1"/>
    <w:rsid w:val="000A713C"/>
    <w:rsid w:val="000C5E34"/>
    <w:rsid w:val="000D0544"/>
    <w:rsid w:val="000D21C5"/>
    <w:rsid w:val="000D24AB"/>
    <w:rsid w:val="000D3534"/>
    <w:rsid w:val="000E0EA1"/>
    <w:rsid w:val="000E1E7B"/>
    <w:rsid w:val="000E220B"/>
    <w:rsid w:val="000E4AC3"/>
    <w:rsid w:val="000E6944"/>
    <w:rsid w:val="000F4737"/>
    <w:rsid w:val="0010292B"/>
    <w:rsid w:val="00112467"/>
    <w:rsid w:val="00121327"/>
    <w:rsid w:val="00124D2D"/>
    <w:rsid w:val="00127550"/>
    <w:rsid w:val="001301AC"/>
    <w:rsid w:val="0013295A"/>
    <w:rsid w:val="00132E42"/>
    <w:rsid w:val="001404E3"/>
    <w:rsid w:val="00163ECB"/>
    <w:rsid w:val="00165BFC"/>
    <w:rsid w:val="0017320D"/>
    <w:rsid w:val="00183D0F"/>
    <w:rsid w:val="00187FDC"/>
    <w:rsid w:val="001B0CD0"/>
    <w:rsid w:val="001B5192"/>
    <w:rsid w:val="001B7704"/>
    <w:rsid w:val="001C099E"/>
    <w:rsid w:val="001C09AA"/>
    <w:rsid w:val="001C21C0"/>
    <w:rsid w:val="001D6EAC"/>
    <w:rsid w:val="001D7999"/>
    <w:rsid w:val="00202E63"/>
    <w:rsid w:val="0020669C"/>
    <w:rsid w:val="002159E1"/>
    <w:rsid w:val="00246FF9"/>
    <w:rsid w:val="00281DFF"/>
    <w:rsid w:val="00296898"/>
    <w:rsid w:val="002A21C3"/>
    <w:rsid w:val="002A3011"/>
    <w:rsid w:val="002C59CD"/>
    <w:rsid w:val="002C5ADD"/>
    <w:rsid w:val="002D7803"/>
    <w:rsid w:val="002E3A62"/>
    <w:rsid w:val="002E6D6E"/>
    <w:rsid w:val="002F268D"/>
    <w:rsid w:val="002F6C26"/>
    <w:rsid w:val="00302C84"/>
    <w:rsid w:val="00304C17"/>
    <w:rsid w:val="00314C96"/>
    <w:rsid w:val="0032351E"/>
    <w:rsid w:val="00326DC1"/>
    <w:rsid w:val="00327F8F"/>
    <w:rsid w:val="00343C20"/>
    <w:rsid w:val="00365137"/>
    <w:rsid w:val="00372698"/>
    <w:rsid w:val="00380DE1"/>
    <w:rsid w:val="00392E0D"/>
    <w:rsid w:val="003968A7"/>
    <w:rsid w:val="003B5EAA"/>
    <w:rsid w:val="003B7D71"/>
    <w:rsid w:val="003C0708"/>
    <w:rsid w:val="003C212B"/>
    <w:rsid w:val="003D2EF0"/>
    <w:rsid w:val="00403278"/>
    <w:rsid w:val="0041586E"/>
    <w:rsid w:val="004219B1"/>
    <w:rsid w:val="0042237F"/>
    <w:rsid w:val="00424D96"/>
    <w:rsid w:val="00431AA2"/>
    <w:rsid w:val="0043673D"/>
    <w:rsid w:val="00450683"/>
    <w:rsid w:val="00452329"/>
    <w:rsid w:val="00455347"/>
    <w:rsid w:val="00461EA6"/>
    <w:rsid w:val="00462C21"/>
    <w:rsid w:val="00467581"/>
    <w:rsid w:val="00470851"/>
    <w:rsid w:val="004850D4"/>
    <w:rsid w:val="004863F2"/>
    <w:rsid w:val="004B1423"/>
    <w:rsid w:val="004C11E0"/>
    <w:rsid w:val="004C13DC"/>
    <w:rsid w:val="004C142D"/>
    <w:rsid w:val="004C441A"/>
    <w:rsid w:val="004D707D"/>
    <w:rsid w:val="004E25FA"/>
    <w:rsid w:val="004E37E1"/>
    <w:rsid w:val="00515838"/>
    <w:rsid w:val="0052598F"/>
    <w:rsid w:val="00534A81"/>
    <w:rsid w:val="00540E32"/>
    <w:rsid w:val="00546D30"/>
    <w:rsid w:val="005651B5"/>
    <w:rsid w:val="0057127A"/>
    <w:rsid w:val="00575239"/>
    <w:rsid w:val="005835C2"/>
    <w:rsid w:val="00587673"/>
    <w:rsid w:val="00590C45"/>
    <w:rsid w:val="005B23D3"/>
    <w:rsid w:val="005B4A00"/>
    <w:rsid w:val="005C5A72"/>
    <w:rsid w:val="005D6F38"/>
    <w:rsid w:val="005D76FE"/>
    <w:rsid w:val="005F02B0"/>
    <w:rsid w:val="005F4A83"/>
    <w:rsid w:val="0060536F"/>
    <w:rsid w:val="00607E2D"/>
    <w:rsid w:val="00624CC4"/>
    <w:rsid w:val="00624E62"/>
    <w:rsid w:val="006263C9"/>
    <w:rsid w:val="006310C1"/>
    <w:rsid w:val="00640C51"/>
    <w:rsid w:val="0066569A"/>
    <w:rsid w:val="006704CA"/>
    <w:rsid w:val="0068028C"/>
    <w:rsid w:val="00693900"/>
    <w:rsid w:val="00694737"/>
    <w:rsid w:val="0069721F"/>
    <w:rsid w:val="006A3834"/>
    <w:rsid w:val="006C0304"/>
    <w:rsid w:val="006C216B"/>
    <w:rsid w:val="006C5798"/>
    <w:rsid w:val="006D0713"/>
    <w:rsid w:val="006D4097"/>
    <w:rsid w:val="006D594C"/>
    <w:rsid w:val="006F249E"/>
    <w:rsid w:val="00700A5B"/>
    <w:rsid w:val="00716DD0"/>
    <w:rsid w:val="00717512"/>
    <w:rsid w:val="0072430D"/>
    <w:rsid w:val="00730D6B"/>
    <w:rsid w:val="00731D14"/>
    <w:rsid w:val="007474A2"/>
    <w:rsid w:val="007651F5"/>
    <w:rsid w:val="00774C85"/>
    <w:rsid w:val="00791F93"/>
    <w:rsid w:val="00796BF2"/>
    <w:rsid w:val="007B7168"/>
    <w:rsid w:val="007E13C4"/>
    <w:rsid w:val="007E2A04"/>
    <w:rsid w:val="007E67AB"/>
    <w:rsid w:val="007F2AF0"/>
    <w:rsid w:val="007F6EA1"/>
    <w:rsid w:val="007F7D1E"/>
    <w:rsid w:val="0080342C"/>
    <w:rsid w:val="008472AE"/>
    <w:rsid w:val="00862C80"/>
    <w:rsid w:val="00865814"/>
    <w:rsid w:val="00881615"/>
    <w:rsid w:val="00891608"/>
    <w:rsid w:val="008A7555"/>
    <w:rsid w:val="008A78A4"/>
    <w:rsid w:val="008B4089"/>
    <w:rsid w:val="008B53A8"/>
    <w:rsid w:val="008C529B"/>
    <w:rsid w:val="008D0DDF"/>
    <w:rsid w:val="008D52C5"/>
    <w:rsid w:val="008E24EE"/>
    <w:rsid w:val="00904320"/>
    <w:rsid w:val="00915527"/>
    <w:rsid w:val="009163EC"/>
    <w:rsid w:val="00926081"/>
    <w:rsid w:val="0093001A"/>
    <w:rsid w:val="009310B3"/>
    <w:rsid w:val="0093291F"/>
    <w:rsid w:val="00945904"/>
    <w:rsid w:val="009578FF"/>
    <w:rsid w:val="00970CE5"/>
    <w:rsid w:val="00970EA6"/>
    <w:rsid w:val="00993D12"/>
    <w:rsid w:val="009961CF"/>
    <w:rsid w:val="009E18CD"/>
    <w:rsid w:val="00A06F89"/>
    <w:rsid w:val="00A1203C"/>
    <w:rsid w:val="00A23D33"/>
    <w:rsid w:val="00A35392"/>
    <w:rsid w:val="00A535D3"/>
    <w:rsid w:val="00A71303"/>
    <w:rsid w:val="00A71611"/>
    <w:rsid w:val="00A7309D"/>
    <w:rsid w:val="00A91AD8"/>
    <w:rsid w:val="00A97F4C"/>
    <w:rsid w:val="00AA3539"/>
    <w:rsid w:val="00AA7872"/>
    <w:rsid w:val="00AC04FF"/>
    <w:rsid w:val="00AC6C4E"/>
    <w:rsid w:val="00AE08F3"/>
    <w:rsid w:val="00AF5AEE"/>
    <w:rsid w:val="00B012C2"/>
    <w:rsid w:val="00B04362"/>
    <w:rsid w:val="00B11BC1"/>
    <w:rsid w:val="00B14204"/>
    <w:rsid w:val="00B17B81"/>
    <w:rsid w:val="00B345DC"/>
    <w:rsid w:val="00B36094"/>
    <w:rsid w:val="00B46741"/>
    <w:rsid w:val="00B52523"/>
    <w:rsid w:val="00B53255"/>
    <w:rsid w:val="00B5456F"/>
    <w:rsid w:val="00B57FA6"/>
    <w:rsid w:val="00B93716"/>
    <w:rsid w:val="00BA3A35"/>
    <w:rsid w:val="00BA644A"/>
    <w:rsid w:val="00BB0230"/>
    <w:rsid w:val="00BB5177"/>
    <w:rsid w:val="00BB6E01"/>
    <w:rsid w:val="00BC11D0"/>
    <w:rsid w:val="00BC5026"/>
    <w:rsid w:val="00BE11F2"/>
    <w:rsid w:val="00BE6C6A"/>
    <w:rsid w:val="00C06BC8"/>
    <w:rsid w:val="00C30486"/>
    <w:rsid w:val="00C34D05"/>
    <w:rsid w:val="00C41FF1"/>
    <w:rsid w:val="00C42946"/>
    <w:rsid w:val="00C67AB4"/>
    <w:rsid w:val="00C715D2"/>
    <w:rsid w:val="00C756AD"/>
    <w:rsid w:val="00C84705"/>
    <w:rsid w:val="00C8486B"/>
    <w:rsid w:val="00C90BEB"/>
    <w:rsid w:val="00CA1859"/>
    <w:rsid w:val="00CA1F18"/>
    <w:rsid w:val="00CE2BD6"/>
    <w:rsid w:val="00CF0B4B"/>
    <w:rsid w:val="00CF1094"/>
    <w:rsid w:val="00D03C76"/>
    <w:rsid w:val="00D15F74"/>
    <w:rsid w:val="00D15F95"/>
    <w:rsid w:val="00D266BB"/>
    <w:rsid w:val="00D26904"/>
    <w:rsid w:val="00D76465"/>
    <w:rsid w:val="00D8068E"/>
    <w:rsid w:val="00D84E0B"/>
    <w:rsid w:val="00D8577D"/>
    <w:rsid w:val="00D91896"/>
    <w:rsid w:val="00DC7E91"/>
    <w:rsid w:val="00DD0E1A"/>
    <w:rsid w:val="00DE3759"/>
    <w:rsid w:val="00DE73E5"/>
    <w:rsid w:val="00DF0116"/>
    <w:rsid w:val="00DF7018"/>
    <w:rsid w:val="00E009A4"/>
    <w:rsid w:val="00E12016"/>
    <w:rsid w:val="00E143B9"/>
    <w:rsid w:val="00E173F8"/>
    <w:rsid w:val="00E401AC"/>
    <w:rsid w:val="00E402AE"/>
    <w:rsid w:val="00E47FAF"/>
    <w:rsid w:val="00E51603"/>
    <w:rsid w:val="00E54A76"/>
    <w:rsid w:val="00E83847"/>
    <w:rsid w:val="00EA0647"/>
    <w:rsid w:val="00EA4C82"/>
    <w:rsid w:val="00EB79FB"/>
    <w:rsid w:val="00EC6092"/>
    <w:rsid w:val="00EC770A"/>
    <w:rsid w:val="00EF0CC2"/>
    <w:rsid w:val="00EF130F"/>
    <w:rsid w:val="00EF50E9"/>
    <w:rsid w:val="00EF513B"/>
    <w:rsid w:val="00F003AC"/>
    <w:rsid w:val="00F425D7"/>
    <w:rsid w:val="00F7333C"/>
    <w:rsid w:val="00F90BF8"/>
    <w:rsid w:val="00F95F70"/>
    <w:rsid w:val="00FC370D"/>
    <w:rsid w:val="00FD6BA8"/>
    <w:rsid w:val="00FF2E46"/>
    <w:rsid w:val="00FF419B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7D85"/>
  <w15:chartTrackingRefBased/>
  <w15:docId w15:val="{58D8E4E6-D8D5-40BB-85F0-78A1F118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3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304"/>
    <w:pPr>
      <w:ind w:left="720"/>
      <w:contextualSpacing/>
    </w:pPr>
  </w:style>
  <w:style w:type="table" w:styleId="PlainTable4">
    <w:name w:val="Plain Table 4"/>
    <w:basedOn w:val="TableNormal"/>
    <w:uiPriority w:val="44"/>
    <w:rsid w:val="006C03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C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0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03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2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1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7D1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1E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3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3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3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3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3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3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D6E"/>
  </w:style>
  <w:style w:type="paragraph" w:styleId="Footer">
    <w:name w:val="footer"/>
    <w:basedOn w:val="Normal"/>
    <w:link w:val="FooterChar"/>
    <w:uiPriority w:val="99"/>
    <w:unhideWhenUsed/>
    <w:rsid w:val="002E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c.enews.senate.gov/mail/util.cfm?mailaction=clickthru&amp;gpiv=2100148622.600.182&amp;gen=1&amp;mailing_linkid=21407" TargetMode="External"/><Relationship Id="rId13" Type="http://schemas.openxmlformats.org/officeDocument/2006/relationships/hyperlink" Target="https://www.jec.senate.gov/public/index.cfm/republicans/analysis?ID=023380F5-9FD0-4800-A1E8-3513F61CBF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ea.gov/newsreleases/national/gdp/2018/pdf/gdp4q17_adv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nytimes.com/2018/06/19/business/economy/social-security-applications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jecr\Alex_Schibuola\Documents\0Projects\GDP%20Reviews\GDP%20Review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jecr\Alex_Schibuola\Documents\0Projects\GDP%20Reviews\GDP%20Review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90164517912179E-2"/>
          <c:y val="0.23787182852143482"/>
          <c:w val="0.95075823225143807"/>
          <c:h val="0.71676727909011384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002060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3.752281524719824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59-41CF-BA1D-F2F0A05DC9FF}"/>
                </c:ext>
              </c:extLst>
            </c:dLbl>
            <c:dLbl>
              <c:idx val="1"/>
              <c:layout>
                <c:manualLayout>
                  <c:x val="1.8406240886555847E-3"/>
                  <c:y val="3.148724550528711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bg1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59-41CF-BA1D-F2F0A05DC9FF}"/>
                </c:ext>
              </c:extLst>
            </c:dLbl>
            <c:dLbl>
              <c:idx val="2"/>
              <c:layout>
                <c:manualLayout>
                  <c:x val="-2.2309711286089238E-5"/>
                  <c:y val="3.165036901182425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59-41CF-BA1D-F2F0A05DC9FF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Arial Narrow" panose="020B060602020203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'(1) Figure 1'!$P$281:$P$292</c:f>
              <c:strCache>
                <c:ptCount val="12"/>
                <c:pt idx="0">
                  <c:v>Q3</c:v>
                </c:pt>
                <c:pt idx="1">
                  <c:v>Q4</c:v>
                </c:pt>
                <c:pt idx="2">
                  <c:v>Q1</c:v>
                </c:pt>
                <c:pt idx="3">
                  <c:v>Q2</c:v>
                </c:pt>
                <c:pt idx="4">
                  <c:v>Q3</c:v>
                </c:pt>
                <c:pt idx="5">
                  <c:v>Q4</c:v>
                </c:pt>
                <c:pt idx="6">
                  <c:v>Q1</c:v>
                </c:pt>
                <c:pt idx="7">
                  <c:v>Q2</c:v>
                </c:pt>
                <c:pt idx="8">
                  <c:v>Q3</c:v>
                </c:pt>
                <c:pt idx="9">
                  <c:v>Q4</c:v>
                </c:pt>
                <c:pt idx="10">
                  <c:v>Q1</c:v>
                </c:pt>
                <c:pt idx="11">
                  <c:v>Q2</c:v>
                </c:pt>
              </c:strCache>
            </c:strRef>
          </c:cat>
          <c:val>
            <c:numRef>
              <c:f>'(1) Figure 1'!$S$281:$S$292</c:f>
              <c:numCache>
                <c:formatCode>0.0</c:formatCode>
                <c:ptCount val="12"/>
                <c:pt idx="0">
                  <c:v>0.96455461446696145</c:v>
                </c:pt>
                <c:pt idx="1">
                  <c:v>0.39970776100357597</c:v>
                </c:pt>
                <c:pt idx="2">
                  <c:v>1.548768690972202</c:v>
                </c:pt>
                <c:pt idx="3">
                  <c:v>2.2813799505932764</c:v>
                </c:pt>
                <c:pt idx="4">
                  <c:v>1.92493423116884</c:v>
                </c:pt>
                <c:pt idx="5">
                  <c:v>1.7622775092036136</c:v>
                </c:pt>
                <c:pt idx="6">
                  <c:v>1.7841742914611158</c:v>
                </c:pt>
                <c:pt idx="7">
                  <c:v>2.9933343195757578</c:v>
                </c:pt>
                <c:pt idx="8">
                  <c:v>2.8212210659775527</c:v>
                </c:pt>
                <c:pt idx="9">
                  <c:v>2.2930890960969785</c:v>
                </c:pt>
                <c:pt idx="10">
                  <c:v>2.2175271567696164</c:v>
                </c:pt>
                <c:pt idx="11">
                  <c:v>4.0595013731414165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59-41CF-BA1D-F2F0A05DC9FF}"/>
            </c:ext>
          </c:extLst>
        </c:ser>
        <c:ser>
          <c:idx val="1"/>
          <c:order val="1"/>
          <c:spPr>
            <a:noFill/>
            <a:ln w="12700">
              <a:solidFill>
                <a:srgbClr val="00B0F0"/>
              </a:solidFill>
              <a:prstDash val="sysDash"/>
            </a:ln>
            <a:effectLst/>
          </c:spPr>
          <c:invertIfNegative val="0"/>
          <c:dLbls>
            <c:dLbl>
              <c:idx val="1"/>
              <c:layout>
                <c:manualLayout>
                  <c:x val="1.6937153365370237E-17"/>
                  <c:y val="-1.420997375328083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59-41CF-BA1D-F2F0A05DC9FF}"/>
                </c:ext>
              </c:extLst>
            </c:dLbl>
            <c:dLbl>
              <c:idx val="2"/>
              <c:layout>
                <c:manualLayout>
                  <c:x val="-3.3275390750743452E-6"/>
                  <c:y val="-1.941382327208997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600" b="0" i="0" u="none" strike="noStrike" kern="1200" baseline="0">
                      <a:solidFill>
                        <a:srgbClr val="00B0F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59-41CF-BA1D-F2F0A05DC9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rgbClr val="00B0F0"/>
                    </a:solidFill>
                    <a:latin typeface="Arial Narrow" panose="020B060602020203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'(1) Figure 1'!$P$281:$P$292</c:f>
              <c:strCache>
                <c:ptCount val="12"/>
                <c:pt idx="0">
                  <c:v>Q3</c:v>
                </c:pt>
                <c:pt idx="1">
                  <c:v>Q4</c:v>
                </c:pt>
                <c:pt idx="2">
                  <c:v>Q1</c:v>
                </c:pt>
                <c:pt idx="3">
                  <c:v>Q2</c:v>
                </c:pt>
                <c:pt idx="4">
                  <c:v>Q3</c:v>
                </c:pt>
                <c:pt idx="5">
                  <c:v>Q4</c:v>
                </c:pt>
                <c:pt idx="6">
                  <c:v>Q1</c:v>
                </c:pt>
                <c:pt idx="7">
                  <c:v>Q2</c:v>
                </c:pt>
                <c:pt idx="8">
                  <c:v>Q3</c:v>
                </c:pt>
                <c:pt idx="9">
                  <c:v>Q4</c:v>
                </c:pt>
                <c:pt idx="10">
                  <c:v>Q1</c:v>
                </c:pt>
                <c:pt idx="11">
                  <c:v>Q2</c:v>
                </c:pt>
              </c:strCache>
            </c:strRef>
          </c:cat>
          <c:val>
            <c:numRef>
              <c:f>'(1) Figure 1'!$R$281:$R$292</c:f>
              <c:numCache>
                <c:formatCode>0.0</c:formatCode>
                <c:ptCount val="12"/>
                <c:pt idx="0">
                  <c:v>1.4552965091764625</c:v>
                </c:pt>
                <c:pt idx="1">
                  <c:v>0.10659052111716694</c:v>
                </c:pt>
                <c:pt idx="2">
                  <c:v>-0.34194497585591233</c:v>
                </c:pt>
                <c:pt idx="3">
                  <c:v>2.7813924146016022</c:v>
                </c:pt>
                <c:pt idx="4">
                  <c:v>1.4982579275937491</c:v>
                </c:pt>
                <c:pt idx="5">
                  <c:v>2.0806137901272947</c:v>
                </c:pt>
                <c:pt idx="6">
                  <c:v>2.0964935029545773</c:v>
                </c:pt>
                <c:pt idx="7">
                  <c:v>1.1421233763130312</c:v>
                </c:pt>
                <c:pt idx="8">
                  <c:v>1.9361918384536603</c:v>
                </c:pt>
                <c:pt idx="9">
                  <c:v>2.7174372353863552</c:v>
                </c:pt>
                <c:pt idx="10">
                  <c:v>2.0257959708873674</c:v>
                </c:pt>
                <c:pt idx="11">
                  <c:v>3.2199975550028404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059-41CF-BA1D-F2F0A05DC9FF}"/>
            </c:ext>
          </c:extLst>
        </c:ser>
        <c:ser>
          <c:idx val="2"/>
          <c:order val="2"/>
          <c:spPr>
            <a:solidFill>
              <a:schemeClr val="bg1">
                <a:alpha val="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6.7276334157524558E-17"/>
                  <c:y val="-3.716666666666666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59-41CF-BA1D-F2F0A05DC9FF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rgbClr val="C00000"/>
                    </a:solidFill>
                    <a:latin typeface="Arial Narrow" panose="020B060602020203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'(1) Figure 1'!$P$281:$P$292</c:f>
              <c:strCache>
                <c:ptCount val="12"/>
                <c:pt idx="0">
                  <c:v>Q3</c:v>
                </c:pt>
                <c:pt idx="1">
                  <c:v>Q4</c:v>
                </c:pt>
                <c:pt idx="2">
                  <c:v>Q1</c:v>
                </c:pt>
                <c:pt idx="3">
                  <c:v>Q2</c:v>
                </c:pt>
                <c:pt idx="4">
                  <c:v>Q3</c:v>
                </c:pt>
                <c:pt idx="5">
                  <c:v>Q4</c:v>
                </c:pt>
                <c:pt idx="6">
                  <c:v>Q1</c:v>
                </c:pt>
                <c:pt idx="7">
                  <c:v>Q2</c:v>
                </c:pt>
                <c:pt idx="8">
                  <c:v>Q3</c:v>
                </c:pt>
                <c:pt idx="9">
                  <c:v>Q4</c:v>
                </c:pt>
                <c:pt idx="10">
                  <c:v>Q1</c:v>
                </c:pt>
                <c:pt idx="11">
                  <c:v>Q2</c:v>
                </c:pt>
              </c:strCache>
            </c:strRef>
          </c:cat>
          <c:val>
            <c:numRef>
              <c:f>'(1) Figure 1'!$Q$281:$Q$292</c:f>
              <c:numCache>
                <c:formatCode>0.0</c:formatCode>
                <c:ptCount val="12"/>
                <c:pt idx="0">
                  <c:v>2.4322405356531185</c:v>
                </c:pt>
                <c:pt idx="1">
                  <c:v>0.50939575562549688</c:v>
                </c:pt>
                <c:pt idx="2">
                  <c:v>1.1974243248376926</c:v>
                </c:pt>
                <c:pt idx="3">
                  <c:v>5.1280577307711406</c:v>
                </c:pt>
                <c:pt idx="4">
                  <c:v>3.4535902997437473</c:v>
                </c:pt>
                <c:pt idx="5">
                  <c:v>3.8764679102038624</c:v>
                </c:pt>
                <c:pt idx="6">
                  <c:v>3.9216724829203908</c:v>
                </c:pt>
                <c:pt idx="7">
                  <c:v>4.1652632696190794</c:v>
                </c:pt>
                <c:pt idx="8">
                  <c:v>4.8162449882188652</c:v>
                </c:pt>
                <c:pt idx="9">
                  <c:v>5.0701339848640004</c:v>
                </c:pt>
                <c:pt idx="10">
                  <c:v>4.2867218683147801</c:v>
                </c:pt>
                <c:pt idx="11">
                  <c:v>7.4127891665073165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059-41CF-BA1D-F2F0A05DC9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349886928"/>
        <c:axId val="349887488"/>
      </c:barChart>
      <c:catAx>
        <c:axId val="349886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49887488"/>
        <c:crosses val="autoZero"/>
        <c:auto val="1"/>
        <c:lblAlgn val="ctr"/>
        <c:lblOffset val="100"/>
        <c:noMultiLvlLbl val="0"/>
      </c:catAx>
      <c:valAx>
        <c:axId val="349887488"/>
        <c:scaling>
          <c:orientation val="minMax"/>
          <c:max val="8"/>
          <c:min val="-1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4988692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6845850999394E-2"/>
          <c:y val="0.17635171981946005"/>
          <c:w val="0.93470333636180092"/>
          <c:h val="0.73796777633345467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74B-4E85-BDF2-5CF60520F356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74B-4E85-BDF2-5CF60520F356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74B-4E85-BDF2-5CF60520F356}"/>
              </c:ext>
            </c:extLst>
          </c:dPt>
          <c:dPt>
            <c:idx val="6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74B-4E85-BDF2-5CF60520F356}"/>
              </c:ext>
            </c:extLst>
          </c:dPt>
          <c:dPt>
            <c:idx val="7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74B-4E85-BDF2-5CF60520F356}"/>
              </c:ext>
            </c:extLst>
          </c:dPt>
          <c:dPt>
            <c:idx val="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74B-4E85-BDF2-5CF60520F356}"/>
              </c:ext>
            </c:extLst>
          </c:dPt>
          <c:dPt>
            <c:idx val="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74B-4E85-BDF2-5CF60520F356}"/>
              </c:ext>
            </c:extLst>
          </c:dPt>
          <c:dPt>
            <c:idx val="1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574B-4E85-BDF2-5CF60520F356}"/>
              </c:ext>
            </c:extLst>
          </c:dPt>
          <c:dPt>
            <c:idx val="11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74B-4E85-BDF2-5CF60520F356}"/>
              </c:ext>
            </c:extLst>
          </c:dPt>
          <c:dLbls>
            <c:dLbl>
              <c:idx val="0"/>
              <c:layout>
                <c:manualLayout>
                  <c:x val="-1.6912933222745658E-17"/>
                  <c:y val="2.7777777777777776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00B05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74B-4E85-BDF2-5CF60520F356}"/>
                </c:ext>
              </c:extLst>
            </c:dLbl>
            <c:dLbl>
              <c:idx val="1"/>
              <c:layout>
                <c:manualLayout>
                  <c:x val="-1.845068574806562E-3"/>
                  <c:y val="1.5745844269466316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00B05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74B-4E85-BDF2-5CF60520F356}"/>
                </c:ext>
              </c:extLst>
            </c:dLbl>
            <c:dLbl>
              <c:idx val="2"/>
              <c:layout>
                <c:manualLayout>
                  <c:x val="-1.8160123767814949E-5"/>
                  <c:y val="1.4141294838145232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00B05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74B-4E85-BDF2-5CF60520F356}"/>
                </c:ext>
              </c:extLst>
            </c:dLbl>
            <c:dLbl>
              <c:idx val="3"/>
              <c:layout>
                <c:manualLayout>
                  <c:x val="-3.3825866445491317E-17"/>
                  <c:y val="3.3334208223972005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00B0F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4B-4E85-BDF2-5CF60520F356}"/>
                </c:ext>
              </c:extLst>
            </c:dLbl>
            <c:dLbl>
              <c:idx val="4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00B0F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574B-4E85-BDF2-5CF60520F356}"/>
                </c:ext>
              </c:extLst>
            </c:dLbl>
            <c:dLbl>
              <c:idx val="5"/>
              <c:layout>
                <c:manualLayout>
                  <c:x val="-6.7651732890982633E-17"/>
                  <c:y val="3.0124671916010447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00B0F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4B-4E85-BDF2-5CF60520F356}"/>
                </c:ext>
              </c:extLst>
            </c:dLbl>
            <c:dLbl>
              <c:idx val="6"/>
              <c:layout>
                <c:manualLayout>
                  <c:x val="-6.7651732890982633E-17"/>
                  <c:y val="2.7777777777777828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00B0F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4B-4E85-BDF2-5CF60520F356}"/>
                </c:ext>
              </c:extLst>
            </c:dLbl>
            <c:dLbl>
              <c:idx val="7"/>
              <c:layout>
                <c:manualLayout>
                  <c:x val="0"/>
                  <c:y val="1.6667104111985975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00B0F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4B-4E85-BDF2-5CF60520F356}"/>
                </c:ext>
              </c:extLst>
            </c:dLbl>
            <c:dLbl>
              <c:idx val="8"/>
              <c:layout>
                <c:manualLayout>
                  <c:x val="-1.1752000992018454E-16"/>
                  <c:y val="1.4260246885670623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C0000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4B-4E85-BDF2-5CF60520F356}"/>
                </c:ext>
              </c:extLst>
            </c:dLbl>
            <c:dLbl>
              <c:idx val="9"/>
              <c:layout>
                <c:manualLayout>
                  <c:x val="0"/>
                  <c:y val="2.2223097112860891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C0000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74B-4E85-BDF2-5CF60520F356}"/>
                </c:ext>
              </c:extLst>
            </c:dLbl>
            <c:dLbl>
              <c:idx val="10"/>
              <c:layout>
                <c:manualLayout>
                  <c:x val="0"/>
                  <c:y val="1.6666666666666666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7030A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74B-4E85-BDF2-5CF60520F356}"/>
                </c:ext>
              </c:extLst>
            </c:dLbl>
            <c:dLbl>
              <c:idx val="11"/>
              <c:layout>
                <c:manualLayout>
                  <c:x val="0"/>
                  <c:y val="2.3767078142784372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rgbClr val="7030A0"/>
                      </a:solidFill>
                      <a:latin typeface="Arial Narrow" panose="020B060602020203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74B-4E85-BDF2-5CF60520F356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002060"/>
                    </a:solidFill>
                    <a:latin typeface="Arial Narrow" panose="020B060602020203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'(3) Figure 2'!$F$304:$Q$304</c:f>
              <c:strCache>
                <c:ptCount val="12"/>
                <c:pt idx="0">
                  <c:v>Durables</c:v>
                </c:pt>
                <c:pt idx="1">
                  <c:v>Nondurables</c:v>
                </c:pt>
                <c:pt idx="2">
                  <c:v>Services</c:v>
                </c:pt>
                <c:pt idx="3">
                  <c:v>Housing</c:v>
                </c:pt>
                <c:pt idx="4">
                  <c:v>Structures</c:v>
                </c:pt>
                <c:pt idx="5">
                  <c:v>Equipment</c:v>
                </c:pt>
                <c:pt idx="6">
                  <c:v>Intellectual Property</c:v>
                </c:pt>
                <c:pt idx="7">
                  <c:v>Inventories</c:v>
                </c:pt>
                <c:pt idx="8">
                  <c:v>Federal Gov't</c:v>
                </c:pt>
                <c:pt idx="9">
                  <c:v>State &amp; Local Gov't</c:v>
                </c:pt>
                <c:pt idx="10">
                  <c:v>Exports</c:v>
                </c:pt>
                <c:pt idx="11">
                  <c:v>Imports</c:v>
                </c:pt>
              </c:strCache>
            </c:strRef>
          </c:cat>
          <c:val>
            <c:numRef>
              <c:f>'(3) Figure 2'!$F$306:$Q$306</c:f>
              <c:numCache>
                <c:formatCode>0.00</c:formatCode>
                <c:ptCount val="12"/>
                <c:pt idx="0">
                  <c:v>0.64</c:v>
                </c:pt>
                <c:pt idx="1">
                  <c:v>0.59</c:v>
                </c:pt>
                <c:pt idx="2">
                  <c:v>1.46</c:v>
                </c:pt>
                <c:pt idx="3">
                  <c:v>-0.04</c:v>
                </c:pt>
                <c:pt idx="4">
                  <c:v>0.39</c:v>
                </c:pt>
                <c:pt idx="5">
                  <c:v>0.23</c:v>
                </c:pt>
                <c:pt idx="6">
                  <c:v>0.35</c:v>
                </c:pt>
                <c:pt idx="7">
                  <c:v>-1</c:v>
                </c:pt>
                <c:pt idx="8">
                  <c:v>0.22</c:v>
                </c:pt>
                <c:pt idx="9">
                  <c:v>0.15</c:v>
                </c:pt>
                <c:pt idx="10">
                  <c:v>1.1200000000000001</c:v>
                </c:pt>
                <c:pt idx="11">
                  <c:v>-0.06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574B-4E85-BDF2-5CF60520F3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0"/>
        <c:overlap val="100"/>
        <c:axId val="350238096"/>
        <c:axId val="350238656"/>
      </c:barChart>
      <c:scatterChart>
        <c:scatterStyle val="lineMarker"/>
        <c:varyColors val="0"/>
        <c:ser>
          <c:idx val="0"/>
          <c:order val="1"/>
          <c:spPr>
            <a:ln w="25400" cap="rnd">
              <a:noFill/>
              <a:round/>
            </a:ln>
            <a:effectLst/>
          </c:spPr>
          <c:marker>
            <c:symbol val="dash"/>
            <c:size val="15"/>
            <c:spPr>
              <a:solidFill>
                <a:schemeClr val="bg2">
                  <a:lumMod val="50000"/>
                </a:schemeClr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6.4257028112449802E-3"/>
                  <c:y val="-8.71449464843512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74B-4E85-BDF2-5CF60520F356}"/>
                </c:ext>
              </c:extLst>
            </c:dLbl>
            <c:dLbl>
              <c:idx val="1"/>
              <c:layout>
                <c:manualLayout>
                  <c:x val="-6.42570281124498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74B-4E85-BDF2-5CF60520F356}"/>
                </c:ext>
              </c:extLst>
            </c:dLbl>
            <c:dLbl>
              <c:idx val="2"/>
              <c:layout>
                <c:manualLayout>
                  <c:x val="-6.4257028112449802E-3"/>
                  <c:y val="-4.357247324217560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74B-4E85-BDF2-5CF60520F356}"/>
                </c:ext>
              </c:extLst>
            </c:dLbl>
            <c:dLbl>
              <c:idx val="3"/>
              <c:layout>
                <c:manualLayout>
                  <c:x val="-6.42570281124498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74B-4E85-BDF2-5CF60520F356}"/>
                </c:ext>
              </c:extLst>
            </c:dLbl>
            <c:dLbl>
              <c:idx val="4"/>
              <c:layout>
                <c:manualLayout>
                  <c:x val="-3.2128890969958363E-3"/>
                  <c:y val="-2.2222222222222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74B-4E85-BDF2-5CF60520F356}"/>
                </c:ext>
              </c:extLst>
            </c:dLbl>
            <c:dLbl>
              <c:idx val="5"/>
              <c:layout>
                <c:manualLayout>
                  <c:x val="-6.4257028112449802E-3"/>
                  <c:y val="-8.714494648435120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74B-4E85-BDF2-5CF60520F356}"/>
                </c:ext>
              </c:extLst>
            </c:dLbl>
            <c:dLbl>
              <c:idx val="6"/>
              <c:layout>
                <c:manualLayout>
                  <c:x val="-6.42570281124498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74B-4E85-BDF2-5CF60520F356}"/>
                </c:ext>
              </c:extLst>
            </c:dLbl>
            <c:dLbl>
              <c:idx val="7"/>
              <c:layout>
                <c:manualLayout>
                  <c:x val="-6.425702811244980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74B-4E85-BDF2-5CF60520F356}"/>
                </c:ext>
              </c:extLst>
            </c:dLbl>
            <c:dLbl>
              <c:idx val="8"/>
              <c:layout>
                <c:manualLayout>
                  <c:x val="-4.8192610049986829E-3"/>
                  <c:y val="5.55555555555555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74B-4E85-BDF2-5CF60520F356}"/>
                </c:ext>
              </c:extLst>
            </c:dLbl>
            <c:dLbl>
              <c:idx val="9"/>
              <c:layout>
                <c:manualLayout>
                  <c:x val="-4.8192610049988182E-3"/>
                  <c:y val="5.55555555555555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74B-4E85-BDF2-5CF60520F356}"/>
                </c:ext>
              </c:extLst>
            </c:dLbl>
            <c:dLbl>
              <c:idx val="10"/>
              <c:layout>
                <c:manualLayout>
                  <c:x val="-6.42570281124509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574B-4E85-BDF2-5CF60520F356}"/>
                </c:ext>
              </c:extLst>
            </c:dLbl>
            <c:dLbl>
              <c:idx val="11"/>
              <c:layout>
                <c:manualLayout>
                  <c:x val="-8.03212851405622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74B-4E85-BDF2-5CF60520F356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2">
                        <a:lumMod val="50000"/>
                      </a:schemeClr>
                    </a:solidFill>
                    <a:latin typeface="Arial Narrow" panose="020B060602020203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'(3) Figure 2'!$F$304:$Q$304</c:f>
              <c:strCache>
                <c:ptCount val="12"/>
                <c:pt idx="0">
                  <c:v>Durables</c:v>
                </c:pt>
                <c:pt idx="1">
                  <c:v>Nondurables</c:v>
                </c:pt>
                <c:pt idx="2">
                  <c:v>Services</c:v>
                </c:pt>
                <c:pt idx="3">
                  <c:v>Housing</c:v>
                </c:pt>
                <c:pt idx="4">
                  <c:v>Structures</c:v>
                </c:pt>
                <c:pt idx="5">
                  <c:v>Equipment</c:v>
                </c:pt>
                <c:pt idx="6">
                  <c:v>Intellectual Property</c:v>
                </c:pt>
                <c:pt idx="7">
                  <c:v>Inventories</c:v>
                </c:pt>
                <c:pt idx="8">
                  <c:v>Federal Gov't</c:v>
                </c:pt>
                <c:pt idx="9">
                  <c:v>State &amp; Local Gov't</c:v>
                </c:pt>
                <c:pt idx="10">
                  <c:v>Exports</c:v>
                </c:pt>
                <c:pt idx="11">
                  <c:v>Imports</c:v>
                </c:pt>
              </c:strCache>
            </c:strRef>
          </c:xVal>
          <c:yVal>
            <c:numRef>
              <c:f>'(3) Figure 2'!$F$305:$Q$305</c:f>
              <c:numCache>
                <c:formatCode>0.00</c:formatCode>
                <c:ptCount val="12"/>
                <c:pt idx="0">
                  <c:v>0.43628571428571428</c:v>
                </c:pt>
                <c:pt idx="1">
                  <c:v>0.2857142857142857</c:v>
                </c:pt>
                <c:pt idx="2">
                  <c:v>0.84028571428571408</c:v>
                </c:pt>
                <c:pt idx="3">
                  <c:v>0.16914285714285721</c:v>
                </c:pt>
                <c:pt idx="4">
                  <c:v>1.4857142857142864E-2</c:v>
                </c:pt>
                <c:pt idx="5">
                  <c:v>0.43885714285714295</c:v>
                </c:pt>
                <c:pt idx="6">
                  <c:v>0.20514285714285715</c:v>
                </c:pt>
                <c:pt idx="7">
                  <c:v>0.20542857142857157</c:v>
                </c:pt>
                <c:pt idx="8">
                  <c:v>-5.114285714285715E-2</c:v>
                </c:pt>
                <c:pt idx="9">
                  <c:v>-6.5428571428571461E-2</c:v>
                </c:pt>
                <c:pt idx="10">
                  <c:v>0.55514285714285727</c:v>
                </c:pt>
                <c:pt idx="11">
                  <c:v>-0.81257142857142817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22-574B-4E85-BDF2-5CF60520F3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0238096"/>
        <c:axId val="350238656"/>
      </c:scatterChart>
      <c:catAx>
        <c:axId val="3502380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50238656"/>
        <c:crossesAt val="0"/>
        <c:auto val="1"/>
        <c:lblAlgn val="ctr"/>
        <c:lblOffset val="100"/>
        <c:noMultiLvlLbl val="0"/>
      </c:catAx>
      <c:valAx>
        <c:axId val="350238656"/>
        <c:scaling>
          <c:orientation val="minMax"/>
          <c:max val="1.5"/>
          <c:min val="-1.5"/>
        </c:scaling>
        <c:delete val="0"/>
        <c:axPos val="l"/>
        <c:majorGridlines>
          <c:spPr>
            <a:ln w="6350" cap="flat" cmpd="sng" algn="ctr">
              <a:noFill/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50238096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0.19408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0" y="0"/>
          <a:ext cx="6883445" cy="4436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1000" b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Quarterly RGDP, NGDP, and the Inflation Adjustment </a:t>
          </a:r>
          <a:r>
            <a:rPr lang="en-US" sz="1000" b="0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(Source: BEA)</a:t>
          </a:r>
        </a:p>
        <a:p xmlns:a="http://schemas.openxmlformats.org/drawingml/2006/main">
          <a:pPr algn="l"/>
          <a:r>
            <a:rPr lang="en-US" sz="1000" b="0" i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Percentage changes at annual rates (figures may not sum due to rounding)</a:t>
          </a:r>
          <a:endParaRPr lang="en-US" sz="1000" b="0" i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0.8393</cdr:x>
      <cdr:y>0</cdr:y>
    </cdr:from>
    <cdr:to>
      <cdr:x>1</cdr:x>
      <cdr:y>0.19105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5777275" y="0"/>
          <a:ext cx="1106170" cy="4367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1000">
              <a:solidFill>
                <a:srgbClr val="C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NGDP growth</a:t>
          </a:r>
          <a:endParaRPr lang="en-US" sz="1000" baseline="0">
            <a:solidFill>
              <a:srgbClr val="C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 xmlns:a="http://schemas.openxmlformats.org/drawingml/2006/main">
          <a:pPr algn="l"/>
          <a:r>
            <a:rPr lang="en-US" sz="10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minus</a:t>
          </a:r>
          <a:r>
            <a:rPr lang="en-US" sz="10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en-US" sz="1000" baseline="0">
              <a:solidFill>
                <a:srgbClr val="00B0F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Inflation</a:t>
          </a:r>
        </a:p>
        <a:p xmlns:a="http://schemas.openxmlformats.org/drawingml/2006/main">
          <a:pPr marL="0" marR="0" lvl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n-US" sz="1000" b="1">
              <a:solidFill>
                <a:schemeClr val="tx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=</a:t>
          </a:r>
          <a:r>
            <a:rPr lang="en-US" sz="1000" b="1">
              <a:solidFill>
                <a:schemeClr val="tx1">
                  <a:lumMod val="65000"/>
                  <a:lumOff val="35000"/>
                </a:schemeClr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</a:t>
          </a:r>
          <a:r>
            <a:rPr lang="en-US" sz="1000" b="1">
              <a:solidFill>
                <a:srgbClr val="00206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RGDP growth</a:t>
          </a:r>
          <a:endParaRPr lang="en-US" sz="1000" b="1">
            <a:solidFill>
              <a:srgbClr val="00B0F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0.19401</cdr:x>
      <cdr:y>0.18074</cdr:y>
    </cdr:from>
    <cdr:to>
      <cdr:x>0.19503</cdr:x>
      <cdr:y>0.88833</cdr:y>
    </cdr:to>
    <cdr:cxnSp macro="">
      <cdr:nvCxnSpPr>
        <cdr:cNvPr id="18" name="Straight Connector 17"/>
        <cdr:cNvCxnSpPr/>
      </cdr:nvCxnSpPr>
      <cdr:spPr>
        <a:xfrm xmlns:a="http://schemas.openxmlformats.org/drawingml/2006/main" flipH="1" flipV="1">
          <a:off x="1335460" y="413172"/>
          <a:ext cx="7022" cy="16175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bg1">
              <a:lumMod val="75000"/>
            </a:schemeClr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0.04459</cdr:x>
      <cdr:y>0.1834</cdr:y>
    </cdr:from>
    <cdr:to>
      <cdr:x>0.10414</cdr:x>
      <cdr:y>0.26759</cdr:y>
    </cdr:to>
    <cdr:sp macro="" textlink="">
      <cdr:nvSpPr>
        <cdr:cNvPr id="22" name="TextBox 1"/>
        <cdr:cNvSpPr txBox="1"/>
      </cdr:nvSpPr>
      <cdr:spPr>
        <a:xfrm xmlns:a="http://schemas.openxmlformats.org/drawingml/2006/main">
          <a:off x="306926" y="419241"/>
          <a:ext cx="409910" cy="1924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000" b="0" baseline="0">
              <a:solidFill>
                <a:schemeClr val="bg1">
                  <a:lumMod val="50000"/>
                </a:schemeClr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2015</a:t>
          </a:r>
          <a:endParaRPr lang="en-US" sz="1000" b="0">
            <a:solidFill>
              <a:schemeClr val="bg1">
                <a:lumMod val="5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0.20162</cdr:x>
      <cdr:y>0.18552</cdr:y>
    </cdr:from>
    <cdr:to>
      <cdr:x>0.26116</cdr:x>
      <cdr:y>0.26972</cdr:y>
    </cdr:to>
    <cdr:sp macro="" textlink="">
      <cdr:nvSpPr>
        <cdr:cNvPr id="23" name="TextBox 1"/>
        <cdr:cNvSpPr txBox="1"/>
      </cdr:nvSpPr>
      <cdr:spPr>
        <a:xfrm xmlns:a="http://schemas.openxmlformats.org/drawingml/2006/main">
          <a:off x="1387842" y="424099"/>
          <a:ext cx="409840" cy="192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000" b="0" baseline="0">
              <a:solidFill>
                <a:schemeClr val="bg1">
                  <a:lumMod val="50000"/>
                </a:schemeClr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2016</a:t>
          </a:r>
          <a:endParaRPr lang="en-US" sz="1000" b="0">
            <a:solidFill>
              <a:schemeClr val="bg1">
                <a:lumMod val="5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0.51516</cdr:x>
      <cdr:y>0.1787</cdr:y>
    </cdr:from>
    <cdr:to>
      <cdr:x>0.5747</cdr:x>
      <cdr:y>0.2629</cdr:y>
    </cdr:to>
    <cdr:sp macro="" textlink="">
      <cdr:nvSpPr>
        <cdr:cNvPr id="24" name="TextBox 1"/>
        <cdr:cNvSpPr txBox="1"/>
      </cdr:nvSpPr>
      <cdr:spPr>
        <a:xfrm xmlns:a="http://schemas.openxmlformats.org/drawingml/2006/main">
          <a:off x="3546108" y="408497"/>
          <a:ext cx="409840" cy="1924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000" b="0" baseline="0">
              <a:solidFill>
                <a:schemeClr val="bg1">
                  <a:lumMod val="50000"/>
                </a:schemeClr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2017</a:t>
          </a:r>
          <a:endParaRPr lang="en-US" sz="1000" b="0">
            <a:solidFill>
              <a:schemeClr val="bg1">
                <a:lumMod val="5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0.51125</cdr:x>
      <cdr:y>0.16661</cdr:y>
    </cdr:from>
    <cdr:to>
      <cdr:x>0.51227</cdr:x>
      <cdr:y>0.8742</cdr:y>
    </cdr:to>
    <cdr:cxnSp macro="">
      <cdr:nvCxnSpPr>
        <cdr:cNvPr id="12" name="Straight Connector 11"/>
        <cdr:cNvCxnSpPr/>
      </cdr:nvCxnSpPr>
      <cdr:spPr>
        <a:xfrm xmlns:a="http://schemas.openxmlformats.org/drawingml/2006/main" flipH="1" flipV="1">
          <a:off x="3533773" y="380870"/>
          <a:ext cx="7050" cy="16175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bg1">
              <a:lumMod val="75000"/>
            </a:schemeClr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0.83337</cdr:x>
      <cdr:y>0.18281</cdr:y>
    </cdr:from>
    <cdr:to>
      <cdr:x>0.89291</cdr:x>
      <cdr:y>0.26701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5736474" y="417893"/>
          <a:ext cx="409840" cy="1924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000" b="0" baseline="0">
              <a:solidFill>
                <a:schemeClr val="bg1">
                  <a:lumMod val="50000"/>
                </a:schemeClr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2018</a:t>
          </a:r>
          <a:endParaRPr lang="en-US" sz="1000" b="0">
            <a:solidFill>
              <a:schemeClr val="bg1">
                <a:lumMod val="50000"/>
              </a:schemeClr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0.82801</cdr:x>
      <cdr:y>0.16859</cdr:y>
    </cdr:from>
    <cdr:to>
      <cdr:x>0.82903</cdr:x>
      <cdr:y>0.87618</cdr:y>
    </cdr:to>
    <cdr:cxnSp macro="">
      <cdr:nvCxnSpPr>
        <cdr:cNvPr id="10" name="Straight Connector 9"/>
        <cdr:cNvCxnSpPr/>
      </cdr:nvCxnSpPr>
      <cdr:spPr>
        <a:xfrm xmlns:a="http://schemas.openxmlformats.org/drawingml/2006/main" flipH="1" flipV="1">
          <a:off x="5723223" y="385403"/>
          <a:ext cx="7050" cy="16175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bg1">
              <a:lumMod val="75000"/>
            </a:schemeClr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0.09901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0" y="0"/>
          <a:ext cx="7905750" cy="2645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1000" b="1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Q2-2018 4.1% RGDP Growth, Contributions by Component </a:t>
          </a:r>
          <a:r>
            <a:rPr lang="en-US" sz="1000" b="0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(Source: BEA)</a:t>
          </a:r>
          <a:endParaRPr lang="en-US" sz="1000" b="1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0.92381</cdr:y>
    </cdr:from>
    <cdr:to>
      <cdr:x>1</cdr:x>
      <cdr:y>1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0" y="2111831"/>
          <a:ext cx="6911786" cy="174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chemeClr val="tx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Gray lines represent each component's recovery average (sum to recovery average </a:t>
          </a:r>
          <a:r>
            <a:rPr lang="en-US" sz="800" b="0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2.2%</a:t>
          </a:r>
          <a:r>
            <a:rPr lang="en-US" sz="800" b="0" baseline="0">
              <a:solidFill>
                <a:schemeClr val="tx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RGDP growth)</a:t>
          </a:r>
          <a:endParaRPr lang="en-US" sz="800" b="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0.02167</cdr:x>
      <cdr:y>0.12813</cdr:y>
    </cdr:from>
    <cdr:to>
      <cdr:x>0.16353</cdr:x>
      <cdr:y>0.20911</cdr:y>
    </cdr:to>
    <cdr:sp macro="" textlink="">
      <cdr:nvSpPr>
        <cdr:cNvPr id="29" name="TextBox 1"/>
        <cdr:cNvSpPr txBox="1"/>
      </cdr:nvSpPr>
      <cdr:spPr>
        <a:xfrm xmlns:a="http://schemas.openxmlformats.org/drawingml/2006/main">
          <a:off x="149163" y="292896"/>
          <a:ext cx="976453" cy="185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800" b="0" baseline="0">
              <a:solidFill>
                <a:sysClr val="windowText" lastClr="0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%</a:t>
          </a:r>
          <a:endParaRPr lang="en-US" sz="8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0.05115</cdr:x>
      <cdr:y>0.10351</cdr:y>
    </cdr:from>
    <cdr:to>
      <cdr:x>0.24596</cdr:x>
      <cdr:y>0.16733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352090" y="236624"/>
          <a:ext cx="1340919" cy="1458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800" b="1" baseline="0">
              <a:solidFill>
                <a:srgbClr val="00B05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Consumption (2.69)</a:t>
          </a:r>
          <a:endParaRPr lang="en-US" sz="800" b="1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0.38378</cdr:x>
      <cdr:y>0.10351</cdr:y>
    </cdr:from>
    <cdr:to>
      <cdr:x>0.57859</cdr:x>
      <cdr:y>0.16598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2661872" y="236622"/>
          <a:ext cx="1351173" cy="1428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800" b="1" baseline="0">
              <a:solidFill>
                <a:srgbClr val="00B0F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Private Investment (-0.07)</a:t>
          </a:r>
          <a:endParaRPr lang="en-US" sz="800" b="1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0.66801</cdr:x>
      <cdr:y>0.09737</cdr:y>
    </cdr:from>
    <cdr:to>
      <cdr:x>0.83255</cdr:x>
      <cdr:y>0.16667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4617169" y="222580"/>
          <a:ext cx="1137259" cy="1584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800" b="1" baseline="0">
              <a:solidFill>
                <a:srgbClr val="C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Government (0.37)</a:t>
          </a:r>
          <a:endParaRPr lang="en-US" sz="800" b="1">
            <a:solidFill>
              <a:srgbClr val="C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0.82649</cdr:x>
      <cdr:y>0.10417</cdr:y>
    </cdr:from>
    <cdr:to>
      <cdr:x>1</cdr:x>
      <cdr:y>0.16615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5712544" y="238126"/>
          <a:ext cx="1199244" cy="1416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800" b="1" baseline="0">
              <a:solidFill>
                <a:srgbClr val="7030A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Foreign Trade (1.06)</a:t>
          </a:r>
          <a:endParaRPr lang="en-US" sz="800" b="1">
            <a:solidFill>
              <a:srgbClr val="7030A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0.07435</cdr:x>
      <cdr:y>0.60417</cdr:y>
    </cdr:from>
    <cdr:to>
      <cdr:x>0.09859</cdr:x>
      <cdr:y>1</cdr:y>
    </cdr:to>
    <cdr:sp macro="" textlink="">
      <cdr:nvSpPr>
        <cdr:cNvPr id="17" name="TextBox 1"/>
        <cdr:cNvSpPr txBox="1"/>
      </cdr:nvSpPr>
      <cdr:spPr>
        <a:xfrm xmlns:a="http://schemas.openxmlformats.org/drawingml/2006/main" rot="16200000">
          <a:off x="142754" y="1750137"/>
          <a:ext cx="904875" cy="166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00B05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Durables</a:t>
          </a:r>
          <a:endParaRPr lang="en-US" sz="800" b="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0.15178</cdr:x>
      <cdr:y>0.5437</cdr:y>
    </cdr:from>
    <cdr:to>
      <cdr:x>0.17602</cdr:x>
      <cdr:y>0.99797</cdr:y>
    </cdr:to>
    <cdr:sp macro="" textlink="">
      <cdr:nvSpPr>
        <cdr:cNvPr id="18" name="TextBox 1"/>
        <cdr:cNvSpPr txBox="1"/>
      </cdr:nvSpPr>
      <cdr:spPr>
        <a:xfrm xmlns:a="http://schemas.openxmlformats.org/drawingml/2006/main" rot="16200000">
          <a:off x="611792" y="1678489"/>
          <a:ext cx="1038461" cy="1672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00B05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Nondurables</a:t>
          </a:r>
          <a:endParaRPr lang="en-US" sz="800" b="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0.22989</cdr:x>
      <cdr:y>0.54606</cdr:y>
    </cdr:from>
    <cdr:to>
      <cdr:x>0.2548</cdr:x>
      <cdr:y>1</cdr:y>
    </cdr:to>
    <cdr:sp macro="" textlink="">
      <cdr:nvSpPr>
        <cdr:cNvPr id="19" name="TextBox 1"/>
        <cdr:cNvSpPr txBox="1"/>
      </cdr:nvSpPr>
      <cdr:spPr>
        <a:xfrm xmlns:a="http://schemas.openxmlformats.org/drawingml/2006/main" rot="16200000">
          <a:off x="1153467" y="1681185"/>
          <a:ext cx="1037707" cy="171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00B05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Services</a:t>
          </a:r>
          <a:endParaRPr lang="en-US" sz="800" b="0">
            <a:solidFill>
              <a:srgbClr val="00B05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0.30696</cdr:x>
      <cdr:y>0.41927</cdr:y>
    </cdr:from>
    <cdr:to>
      <cdr:x>0.33187</cdr:x>
      <cdr:y>0.88021</cdr:y>
    </cdr:to>
    <cdr:sp macro="" textlink="">
      <cdr:nvSpPr>
        <cdr:cNvPr id="20" name="TextBox 1"/>
        <cdr:cNvSpPr txBox="1"/>
      </cdr:nvSpPr>
      <cdr:spPr>
        <a:xfrm xmlns:a="http://schemas.openxmlformats.org/drawingml/2006/main" rot="16200000">
          <a:off x="1671751" y="1399572"/>
          <a:ext cx="1053704" cy="1714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800" b="0" baseline="0">
              <a:solidFill>
                <a:srgbClr val="00B0F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Residential Investment</a:t>
          </a:r>
          <a:endParaRPr lang="en-US" sz="800" b="0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0.38472</cdr:x>
      <cdr:y>0.55181</cdr:y>
    </cdr:from>
    <cdr:to>
      <cdr:x>0.40893</cdr:x>
      <cdr:y>0.87681</cdr:y>
    </cdr:to>
    <cdr:sp macro="" textlink="">
      <cdr:nvSpPr>
        <cdr:cNvPr id="21" name="TextBox 1"/>
        <cdr:cNvSpPr txBox="1"/>
      </cdr:nvSpPr>
      <cdr:spPr>
        <a:xfrm xmlns:a="http://schemas.openxmlformats.org/drawingml/2006/main" rot="16200000">
          <a:off x="2387073" y="1548759"/>
          <a:ext cx="742950" cy="1682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00B0F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Structures</a:t>
          </a:r>
          <a:endParaRPr lang="en-US" sz="800" b="0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0.46353</cdr:x>
      <cdr:y>0.54704</cdr:y>
    </cdr:from>
    <cdr:to>
      <cdr:x>0.48844</cdr:x>
      <cdr:y>0.99745</cdr:y>
    </cdr:to>
    <cdr:sp macro="" textlink="">
      <cdr:nvSpPr>
        <cdr:cNvPr id="22" name="TextBox 1"/>
        <cdr:cNvSpPr txBox="1"/>
      </cdr:nvSpPr>
      <cdr:spPr>
        <a:xfrm xmlns:a="http://schemas.openxmlformats.org/drawingml/2006/main" rot="16200000">
          <a:off x="2769784" y="1679395"/>
          <a:ext cx="1029638" cy="1719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00B0F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Equipment</a:t>
          </a:r>
          <a:endParaRPr lang="en-US" sz="800" b="0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0.54163</cdr:x>
      <cdr:y>0.54959</cdr:y>
    </cdr:from>
    <cdr:to>
      <cdr:x>0.56587</cdr:x>
      <cdr:y>1</cdr:y>
    </cdr:to>
    <cdr:sp macro="" textlink="">
      <cdr:nvSpPr>
        <cdr:cNvPr id="23" name="TextBox 1"/>
        <cdr:cNvSpPr txBox="1"/>
      </cdr:nvSpPr>
      <cdr:spPr>
        <a:xfrm xmlns:a="http://schemas.openxmlformats.org/drawingml/2006/main" rot="16200000">
          <a:off x="3306435" y="1687547"/>
          <a:ext cx="1029637" cy="1672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00B0F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Intellectual Property</a:t>
          </a:r>
          <a:endParaRPr lang="en-US" sz="800" b="0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0.69717</cdr:x>
      <cdr:y>0.54756</cdr:y>
    </cdr:from>
    <cdr:to>
      <cdr:x>0.72141</cdr:x>
      <cdr:y>0.98574</cdr:y>
    </cdr:to>
    <cdr:sp macro="" textlink="">
      <cdr:nvSpPr>
        <cdr:cNvPr id="25" name="TextBox 1"/>
        <cdr:cNvSpPr txBox="1"/>
      </cdr:nvSpPr>
      <cdr:spPr>
        <a:xfrm xmlns:a="http://schemas.openxmlformats.org/drawingml/2006/main" rot="16200000">
          <a:off x="4393719" y="1668930"/>
          <a:ext cx="1001677" cy="1672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C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Federal</a:t>
          </a:r>
          <a:endParaRPr lang="en-US" sz="800" b="0">
            <a:solidFill>
              <a:srgbClr val="C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0.77394</cdr:x>
      <cdr:y>0.54804</cdr:y>
    </cdr:from>
    <cdr:to>
      <cdr:x>0.80071</cdr:x>
      <cdr:y>0.89804</cdr:y>
    </cdr:to>
    <cdr:sp macro="" textlink="">
      <cdr:nvSpPr>
        <cdr:cNvPr id="26" name="TextBox 1"/>
        <cdr:cNvSpPr txBox="1"/>
      </cdr:nvSpPr>
      <cdr:spPr>
        <a:xfrm xmlns:a="http://schemas.openxmlformats.org/drawingml/2006/main" rot="16200000">
          <a:off x="5019277" y="1560728"/>
          <a:ext cx="800100" cy="184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C0000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State &amp; Local</a:t>
          </a:r>
          <a:endParaRPr lang="en-US" sz="800" b="0">
            <a:solidFill>
              <a:srgbClr val="C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0.85271</cdr:x>
      <cdr:y>0.54324</cdr:y>
    </cdr:from>
    <cdr:to>
      <cdr:x>0.87695</cdr:x>
      <cdr:y>1</cdr:y>
    </cdr:to>
    <cdr:sp macro="" textlink="">
      <cdr:nvSpPr>
        <cdr:cNvPr id="27" name="TextBox 1"/>
        <cdr:cNvSpPr txBox="1"/>
      </cdr:nvSpPr>
      <cdr:spPr>
        <a:xfrm xmlns:a="http://schemas.openxmlformats.org/drawingml/2006/main" rot="16200000">
          <a:off x="5489828" y="1679671"/>
          <a:ext cx="1044153" cy="1685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7030A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Exports</a:t>
          </a:r>
          <a:endParaRPr lang="en-US" sz="800" b="0">
            <a:solidFill>
              <a:srgbClr val="7030A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0.93081</cdr:x>
      <cdr:y>0.03569</cdr:y>
    </cdr:from>
    <cdr:to>
      <cdr:x>0.95465</cdr:x>
      <cdr:y>0.48152</cdr:y>
    </cdr:to>
    <cdr:sp macro="" textlink="">
      <cdr:nvSpPr>
        <cdr:cNvPr id="28" name="TextBox 1"/>
        <cdr:cNvSpPr txBox="1"/>
      </cdr:nvSpPr>
      <cdr:spPr>
        <a:xfrm xmlns:a="http://schemas.openxmlformats.org/drawingml/2006/main" rot="16200000">
          <a:off x="6043847" y="508314"/>
          <a:ext cx="1019167" cy="165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800" b="0" baseline="0">
              <a:solidFill>
                <a:srgbClr val="7030A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Imports</a:t>
          </a:r>
          <a:endParaRPr lang="en-US" sz="800" b="0">
            <a:solidFill>
              <a:srgbClr val="7030A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0.61831</cdr:x>
      <cdr:y>0.1875</cdr:y>
    </cdr:from>
    <cdr:to>
      <cdr:x>0.64299</cdr:x>
      <cdr:y>0.61719</cdr:y>
    </cdr:to>
    <cdr:sp macro="" textlink="">
      <cdr:nvSpPr>
        <cdr:cNvPr id="32" name="TextBox 1"/>
        <cdr:cNvSpPr txBox="1"/>
      </cdr:nvSpPr>
      <cdr:spPr>
        <a:xfrm xmlns:a="http://schemas.openxmlformats.org/drawingml/2006/main" rot="16200000">
          <a:off x="3849733" y="834827"/>
          <a:ext cx="982271" cy="169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en-US" sz="800" b="0" baseline="0">
              <a:solidFill>
                <a:srgbClr val="00B0F0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Inventories</a:t>
          </a:r>
          <a:endParaRPr lang="en-US" sz="800" b="0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0.04817</cdr:x>
      <cdr:y>0.54276</cdr:y>
    </cdr:from>
    <cdr:to>
      <cdr:x>0.97092</cdr:x>
      <cdr:y>0.54472</cdr:y>
    </cdr:to>
    <cdr:cxnSp macro="">
      <cdr:nvCxnSpPr>
        <cdr:cNvPr id="24" name="Straight Connector 23"/>
        <cdr:cNvCxnSpPr/>
      </cdr:nvCxnSpPr>
      <cdr:spPr>
        <a:xfrm xmlns:a="http://schemas.openxmlformats.org/drawingml/2006/main" flipV="1">
          <a:off x="334100" y="1240757"/>
          <a:ext cx="6400075" cy="4473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8F5C-082B-414F-97ED-09A5F7F6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Schibuola, Alex (JEC)</dc:creator>
  <cp:keywords/>
  <dc:description/>
  <cp:lastModifiedBy>Microsoft Office User</cp:lastModifiedBy>
  <cp:revision>2</cp:revision>
  <cp:lastPrinted>2018-07-27T20:10:00Z</cp:lastPrinted>
  <dcterms:created xsi:type="dcterms:W3CDTF">2018-08-02T16:03:00Z</dcterms:created>
  <dcterms:modified xsi:type="dcterms:W3CDTF">2018-08-02T16:03:00Z</dcterms:modified>
</cp:coreProperties>
</file>