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87693" w14:textId="41F95A54" w:rsidR="004E2FB9" w:rsidRPr="00AA182D" w:rsidRDefault="00305B97" w:rsidP="00AA182D">
      <w:pPr>
        <w:spacing w:after="0" w:line="240" w:lineRule="auto"/>
        <w:jc w:val="right"/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24"/>
          <w:szCs w:val="24"/>
        </w:rPr>
        <w:t>September</w:t>
      </w:r>
      <w:r w:rsidR="004E2FB9" w:rsidRPr="004E2FB9">
        <w:rPr>
          <w:rFonts w:ascii="Cambria" w:hAnsi="Cambria" w:cs="Times New Roman"/>
          <w:i/>
          <w:sz w:val="24"/>
          <w:szCs w:val="24"/>
        </w:rPr>
        <w:t xml:space="preserve"> 2016</w:t>
      </w:r>
      <w:r w:rsidR="00AA182D">
        <w:rPr>
          <w:rFonts w:ascii="Cambria" w:hAnsi="Cambria" w:cs="Times New Roman"/>
          <w:i/>
          <w:sz w:val="24"/>
          <w:szCs w:val="24"/>
        </w:rPr>
        <w:br/>
      </w:r>
    </w:p>
    <w:p w14:paraId="0E8F9E59" w14:textId="1B028DDC" w:rsidR="004E2FB9" w:rsidRPr="004E2FB9" w:rsidRDefault="007F1797" w:rsidP="004E2FB9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</w:rPr>
      </w:pPr>
      <w:r>
        <w:rPr>
          <w:rFonts w:ascii="Cambria" w:hAnsi="Cambria" w:cs="Times New Roman"/>
          <w:b/>
          <w:sz w:val="32"/>
          <w:szCs w:val="32"/>
        </w:rPr>
        <w:t>Six</w:t>
      </w:r>
      <w:r w:rsidR="004E2FB9" w:rsidRPr="004E2FB9">
        <w:rPr>
          <w:rFonts w:ascii="Cambria" w:hAnsi="Cambria" w:cs="Times New Roman"/>
          <w:b/>
          <w:sz w:val="32"/>
          <w:szCs w:val="32"/>
        </w:rPr>
        <w:t xml:space="preserve"> </w:t>
      </w:r>
      <w:r w:rsidR="00AA182D">
        <w:rPr>
          <w:rFonts w:ascii="Cambria" w:hAnsi="Cambria" w:cs="Times New Roman"/>
          <w:b/>
          <w:sz w:val="32"/>
          <w:szCs w:val="32"/>
        </w:rPr>
        <w:t xml:space="preserve">New </w:t>
      </w:r>
      <w:r w:rsidR="00606C5B">
        <w:rPr>
          <w:rFonts w:ascii="Cambria" w:hAnsi="Cambria" w:cs="Times New Roman"/>
          <w:b/>
          <w:sz w:val="32"/>
          <w:szCs w:val="32"/>
        </w:rPr>
        <w:t>Scary</w:t>
      </w:r>
      <w:r w:rsidR="004E2FB9" w:rsidRPr="004E2FB9">
        <w:rPr>
          <w:rFonts w:ascii="Cambria" w:hAnsi="Cambria" w:cs="Times New Roman"/>
          <w:b/>
          <w:sz w:val="32"/>
          <w:szCs w:val="32"/>
        </w:rPr>
        <w:t xml:space="preserve"> Eq</w:t>
      </w:r>
      <w:r w:rsidR="004E2FB9">
        <w:rPr>
          <w:rFonts w:ascii="Cambria" w:hAnsi="Cambria" w:cs="Times New Roman"/>
          <w:b/>
          <w:sz w:val="32"/>
          <w:szCs w:val="32"/>
        </w:rPr>
        <w:t>u</w:t>
      </w:r>
      <w:r w:rsidR="004E2FB9" w:rsidRPr="004E2FB9">
        <w:rPr>
          <w:rFonts w:ascii="Cambria" w:hAnsi="Cambria" w:cs="Times New Roman"/>
          <w:b/>
          <w:sz w:val="32"/>
          <w:szCs w:val="32"/>
        </w:rPr>
        <w:t>ations</w:t>
      </w:r>
      <w:r w:rsidR="00FB2D13">
        <w:rPr>
          <w:rFonts w:ascii="Cambria" w:hAnsi="Cambria" w:cs="Times New Roman"/>
          <w:b/>
          <w:sz w:val="32"/>
          <w:szCs w:val="32"/>
        </w:rPr>
        <w:t xml:space="preserve"> from</w:t>
      </w:r>
      <w:r w:rsidR="00AA182D">
        <w:rPr>
          <w:rFonts w:ascii="Cambria" w:hAnsi="Cambria" w:cs="Times New Roman"/>
          <w:b/>
          <w:sz w:val="32"/>
          <w:szCs w:val="32"/>
        </w:rPr>
        <w:t xml:space="preserve"> the Congressional Budget Office</w:t>
      </w:r>
    </w:p>
    <w:p w14:paraId="27802AF9" w14:textId="77777777" w:rsidR="004E2FB9" w:rsidRDefault="004E2FB9" w:rsidP="00AD1AA8">
      <w:pPr>
        <w:spacing w:after="0" w:line="240" w:lineRule="auto"/>
        <w:rPr>
          <w:rFonts w:ascii="Cambria" w:hAnsi="Cambria" w:cs="Times New Roman"/>
          <w:b/>
          <w:sz w:val="30"/>
          <w:szCs w:val="30"/>
        </w:rPr>
      </w:pPr>
    </w:p>
    <w:p w14:paraId="4890C4EB" w14:textId="49DD2F20" w:rsidR="007B23DD" w:rsidRPr="005F4F79" w:rsidRDefault="007F78C4" w:rsidP="00193CB1">
      <w:pPr>
        <w:pStyle w:val="ListParagraph"/>
        <w:numPr>
          <w:ilvl w:val="0"/>
          <w:numId w:val="9"/>
        </w:numPr>
        <w:rPr>
          <w:rFonts w:ascii="Cambria" w:hAnsi="Cambria" w:cs="Times New Roman"/>
          <w:b/>
          <w:sz w:val="24"/>
          <w:szCs w:val="24"/>
        </w:rPr>
      </w:pPr>
      <w:r w:rsidRPr="005F4F79">
        <w:rPr>
          <w:rFonts w:ascii="Cambria" w:hAnsi="Cambria" w:cs="Times New Roman"/>
          <w:b/>
          <w:sz w:val="24"/>
          <w:szCs w:val="24"/>
        </w:rPr>
        <w:t>(</w:t>
      </w:r>
      <w:r w:rsidR="007B23DD" w:rsidRPr="005F4F79">
        <w:rPr>
          <w:rFonts w:ascii="Cambria" w:hAnsi="Cambria" w:cs="Times New Roman"/>
          <w:b/>
          <w:sz w:val="24"/>
          <w:szCs w:val="24"/>
        </w:rPr>
        <w:t>Revenues &gt; Historical Average</w:t>
      </w:r>
      <w:r w:rsidRPr="005F4F79">
        <w:rPr>
          <w:rFonts w:ascii="Cambria" w:hAnsi="Cambria" w:cs="Times New Roman"/>
          <w:b/>
          <w:sz w:val="24"/>
          <w:szCs w:val="24"/>
        </w:rPr>
        <w:t>)</w:t>
      </w:r>
      <w:r w:rsidR="007B23DD" w:rsidRPr="005F4F79">
        <w:rPr>
          <w:rFonts w:ascii="Cambria" w:hAnsi="Cambria" w:cs="Times New Roman"/>
          <w:b/>
          <w:sz w:val="24"/>
          <w:szCs w:val="24"/>
        </w:rPr>
        <w:t xml:space="preserve"> </w:t>
      </w:r>
      <w:r w:rsidRPr="005F4F79">
        <w:rPr>
          <w:rFonts w:ascii="Cambria" w:hAnsi="Cambria" w:cs="Times New Roman"/>
          <w:b/>
          <w:sz w:val="24"/>
          <w:szCs w:val="24"/>
        </w:rPr>
        <w:t>+ (</w:t>
      </w:r>
      <w:r w:rsidR="007B23DD" w:rsidRPr="005F4F79">
        <w:rPr>
          <w:rFonts w:ascii="Cambria" w:hAnsi="Cambria" w:cs="Times New Roman"/>
          <w:b/>
          <w:sz w:val="24"/>
          <w:szCs w:val="24"/>
        </w:rPr>
        <w:t xml:space="preserve">Spending MUCH </w:t>
      </w:r>
      <w:r w:rsidRPr="005F4F79">
        <w:rPr>
          <w:rFonts w:ascii="Cambria" w:hAnsi="Cambria" w:cs="Times New Roman"/>
          <w:b/>
          <w:sz w:val="24"/>
          <w:szCs w:val="24"/>
        </w:rPr>
        <w:t xml:space="preserve">&gt; Average) = </w:t>
      </w:r>
      <w:r w:rsidR="00B70264" w:rsidRPr="005F4F79">
        <w:rPr>
          <w:rFonts w:ascii="Cambria" w:hAnsi="Cambria" w:cs="Times New Roman"/>
          <w:b/>
          <w:sz w:val="24"/>
          <w:szCs w:val="24"/>
        </w:rPr>
        <w:t xml:space="preserve">$1T </w:t>
      </w:r>
      <w:r w:rsidRPr="005F4F79">
        <w:rPr>
          <w:rFonts w:ascii="Cambria" w:hAnsi="Cambria" w:cs="Times New Roman"/>
          <w:b/>
          <w:sz w:val="24"/>
          <w:szCs w:val="24"/>
        </w:rPr>
        <w:t>Deficits</w:t>
      </w:r>
    </w:p>
    <w:p w14:paraId="4BE02F33" w14:textId="291EC18E" w:rsidR="00FA552E" w:rsidRDefault="00FA552E" w:rsidP="00FA552E">
      <w:pPr>
        <w:pStyle w:val="ListParagraph"/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5648" behindDoc="0" locked="0" layoutInCell="1" allowOverlap="1" wp14:anchorId="7868E0FC" wp14:editId="54E8EF40">
            <wp:simplePos x="0" y="0"/>
            <wp:positionH relativeFrom="column">
              <wp:posOffset>2762250</wp:posOffset>
            </wp:positionH>
            <wp:positionV relativeFrom="paragraph">
              <wp:posOffset>253365</wp:posOffset>
            </wp:positionV>
            <wp:extent cx="4372610" cy="1654810"/>
            <wp:effectExtent l="0" t="0" r="8890" b="254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82660" w:rsidRPr="00C63E2C">
        <w:rPr>
          <w:rFonts w:ascii="Cambria" w:hAnsi="Cambria" w:cs="Times New Roman"/>
          <w:noProof/>
          <w:sz w:val="24"/>
          <w:szCs w:val="24"/>
        </w:rPr>
        <mc:AlternateContent>
          <mc:Choice Requires="wps">
            <w:drawing>
              <wp:anchor distT="182880" distB="182880" distL="114300" distR="114300" simplePos="0" relativeHeight="251674624" behindDoc="0" locked="0" layoutInCell="1" allowOverlap="1" wp14:anchorId="7D0BEE28" wp14:editId="7FBDC961">
                <wp:simplePos x="0" y="0"/>
                <wp:positionH relativeFrom="margin">
                  <wp:posOffset>3057525</wp:posOffset>
                </wp:positionH>
                <wp:positionV relativeFrom="margin">
                  <wp:posOffset>1319530</wp:posOffset>
                </wp:positionV>
                <wp:extent cx="3543935" cy="152400"/>
                <wp:effectExtent l="0" t="0" r="0" b="0"/>
                <wp:wrapThrough wrapText="bothSides">
                  <wp:wrapPolygon edited="0">
                    <wp:start x="0" y="0"/>
                    <wp:lineTo x="0" y="18900"/>
                    <wp:lineTo x="21500" y="18900"/>
                    <wp:lineTo x="21500" y="0"/>
                    <wp:lineTo x="0" y="0"/>
                  </wp:wrapPolygon>
                </wp:wrapThrough>
                <wp:docPr id="10" name="Text Box 10" descr="Pull quote with accent 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15538" w14:textId="6EF6CE7A" w:rsidR="00C63E2C" w:rsidRPr="00E82660" w:rsidRDefault="00E82660">
                            <w:pPr>
                              <w:pBdr>
                                <w:left w:val="single" w:sz="4" w:space="6" w:color="5B9BD5" w:themeColor="accent1"/>
                              </w:pBdr>
                              <w:spacing w:after="0" w:line="312" w:lineRule="auto"/>
                              <w:rPr>
                                <w:rFonts w:ascii="Cambria" w:hAnsi="Cambri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E82660">
                              <w:rPr>
                                <w:rFonts w:ascii="Cambria" w:hAnsi="Cambr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Percentage of GDP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60000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BEE2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alt="Pull quote with accent bar" style="position:absolute;left:0;text-align:left;margin-left:240.75pt;margin-top:103.9pt;width:279.05pt;height:12pt;z-index:251674624;visibility:visible;mso-wrap-style:square;mso-width-percent:600;mso-height-percent:0;mso-wrap-distance-left:9pt;mso-wrap-distance-top:14.4pt;mso-wrap-distance-right:9pt;mso-wrap-distance-bottom:14.4pt;mso-position-horizontal:absolute;mso-position-horizontal-relative:margin;mso-position-vertical:absolute;mso-position-vertical-relative:margin;mso-width-percent:6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" filled="f" stroked="f" strokeweight=".5pt">
                <v:textbox inset="0,0,0,0">
                  <w:txbxContent>
                    <w:p w14:paraId="70715538" w14:textId="6EF6CE7A" w:rsidR="00C63E2C" w:rsidRPr="00E82660" w:rsidRDefault="00E82660">
                      <w:pPr>
                        <w:pBdr>
                          <w:left w:val="single" w:sz="4" w:space="6" w:color="5B9BD5" w:themeColor="accent1"/>
                        </w:pBdr>
                        <w:spacing w:after="0" w:line="312" w:lineRule="auto"/>
                        <w:rPr>
                          <w:rFonts w:ascii="Cambria" w:hAnsi="Cambria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E82660">
                        <w:rPr>
                          <w:rFonts w:ascii="Cambria" w:hAnsi="Cambria"/>
                          <w:color w:val="404040" w:themeColor="text1" w:themeTint="BF"/>
                          <w:sz w:val="18"/>
                          <w:szCs w:val="18"/>
                        </w:rPr>
                        <w:t>Percentage of GDP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B70264" w:rsidRPr="005F4F79">
        <w:rPr>
          <w:rFonts w:ascii="Cambria" w:hAnsi="Cambria" w:cs="Times New Roman"/>
          <w:sz w:val="24"/>
          <w:szCs w:val="24"/>
        </w:rPr>
        <w:t>Over the past 50 years, average revenues were 17.4% of the economy</w:t>
      </w:r>
      <w:r w:rsidR="002E4C93">
        <w:rPr>
          <w:rFonts w:ascii="Cambria" w:hAnsi="Cambria" w:cs="Times New Roman"/>
          <w:sz w:val="24"/>
          <w:szCs w:val="24"/>
        </w:rPr>
        <w:t>’s Gross Domestic Product (GDP)</w:t>
      </w:r>
      <w:r w:rsidR="00B70264" w:rsidRPr="005F4F79">
        <w:rPr>
          <w:rFonts w:ascii="Cambria" w:hAnsi="Cambria" w:cs="Times New Roman"/>
          <w:sz w:val="24"/>
          <w:szCs w:val="24"/>
        </w:rPr>
        <w:t xml:space="preserve">, while spending </w:t>
      </w:r>
      <w:r w:rsidR="007F1797" w:rsidRPr="005F4F79">
        <w:rPr>
          <w:rFonts w:ascii="Cambria" w:hAnsi="Cambria" w:cs="Times New Roman"/>
          <w:sz w:val="24"/>
          <w:szCs w:val="24"/>
        </w:rPr>
        <w:t xml:space="preserve">averaged </w:t>
      </w:r>
      <w:r w:rsidR="00B70264" w:rsidRPr="005F4F79">
        <w:rPr>
          <w:rFonts w:ascii="Cambria" w:hAnsi="Cambria" w:cs="Times New Roman"/>
          <w:sz w:val="24"/>
          <w:szCs w:val="24"/>
        </w:rPr>
        <w:t xml:space="preserve">20.2%.  </w:t>
      </w:r>
      <w:r w:rsidR="007F78C4" w:rsidRPr="005F4F79">
        <w:rPr>
          <w:rFonts w:ascii="Cambria" w:hAnsi="Cambria" w:cs="Times New Roman"/>
          <w:sz w:val="24"/>
          <w:szCs w:val="24"/>
        </w:rPr>
        <w:t>CBO expects revenues</w:t>
      </w:r>
      <w:r w:rsidR="00B70264" w:rsidRPr="005F4F79">
        <w:rPr>
          <w:rFonts w:ascii="Cambria" w:hAnsi="Cambria" w:cs="Times New Roman"/>
          <w:sz w:val="24"/>
          <w:szCs w:val="24"/>
        </w:rPr>
        <w:t xml:space="preserve"> to </w:t>
      </w:r>
      <w:r w:rsidR="007F78C4" w:rsidRPr="005F4F79">
        <w:rPr>
          <w:rFonts w:ascii="Cambria" w:hAnsi="Cambria" w:cs="Times New Roman"/>
          <w:sz w:val="24"/>
          <w:szCs w:val="24"/>
        </w:rPr>
        <w:t>remain above the historical average</w:t>
      </w:r>
      <w:r w:rsidR="00EC293B" w:rsidRPr="005F4F79">
        <w:rPr>
          <w:rFonts w:ascii="Cambria" w:hAnsi="Cambria" w:cs="Times New Roman"/>
          <w:sz w:val="24"/>
          <w:szCs w:val="24"/>
        </w:rPr>
        <w:t xml:space="preserve">, but spending will far outpace </w:t>
      </w:r>
      <w:r w:rsidR="007F1797" w:rsidRPr="005F4F79">
        <w:rPr>
          <w:rFonts w:ascii="Cambria" w:hAnsi="Cambria" w:cs="Times New Roman"/>
          <w:sz w:val="24"/>
          <w:szCs w:val="24"/>
        </w:rPr>
        <w:t>its</w:t>
      </w:r>
      <w:r w:rsidR="00EC293B" w:rsidRPr="005F4F79">
        <w:rPr>
          <w:rFonts w:ascii="Cambria" w:hAnsi="Cambria" w:cs="Times New Roman"/>
          <w:sz w:val="24"/>
          <w:szCs w:val="24"/>
        </w:rPr>
        <w:t xml:space="preserve"> average.</w:t>
      </w:r>
      <w:r w:rsidR="001C0DE4" w:rsidRPr="001C0DE4">
        <w:rPr>
          <w:rStyle w:val="EndnoteReference"/>
          <w:rFonts w:ascii="Cambria" w:hAnsi="Cambria" w:cs="Times New Roman"/>
          <w:sz w:val="24"/>
          <w:szCs w:val="24"/>
        </w:rPr>
        <w:t xml:space="preserve"> </w:t>
      </w:r>
      <w:r w:rsidR="001C0DE4">
        <w:rPr>
          <w:rStyle w:val="EndnoteReference"/>
          <w:rFonts w:ascii="Cambria" w:hAnsi="Cambria" w:cs="Times New Roman"/>
          <w:sz w:val="24"/>
          <w:szCs w:val="24"/>
        </w:rPr>
        <w:endnoteReference w:id="2"/>
      </w:r>
      <w:r w:rsidR="00EC293B" w:rsidRPr="005F4F79">
        <w:rPr>
          <w:rFonts w:ascii="Cambria" w:hAnsi="Cambria" w:cs="Times New Roman"/>
          <w:sz w:val="24"/>
          <w:szCs w:val="24"/>
        </w:rPr>
        <w:t xml:space="preserve">  </w:t>
      </w:r>
      <w:r w:rsidR="00B70264" w:rsidRPr="005F4F79">
        <w:rPr>
          <w:rFonts w:ascii="Cambria" w:hAnsi="Cambria" w:cs="Times New Roman"/>
          <w:sz w:val="24"/>
          <w:szCs w:val="24"/>
        </w:rPr>
        <w:t>As a result, t</w:t>
      </w:r>
      <w:r w:rsidR="007F78C4" w:rsidRPr="005F4F79">
        <w:rPr>
          <w:rFonts w:ascii="Cambria" w:hAnsi="Cambria" w:cs="Times New Roman"/>
          <w:sz w:val="24"/>
          <w:szCs w:val="24"/>
        </w:rPr>
        <w:t>rillion-dollar deficits will return in 2024,</w:t>
      </w:r>
      <w:r w:rsidR="00EC293B" w:rsidRPr="005F4F79">
        <w:rPr>
          <w:rFonts w:ascii="Cambria" w:hAnsi="Cambria" w:cs="Times New Roman"/>
          <w:sz w:val="24"/>
          <w:szCs w:val="24"/>
        </w:rPr>
        <w:t xml:space="preserve"> a</w:t>
      </w:r>
      <w:r w:rsidR="00E3101C">
        <w:rPr>
          <w:rFonts w:ascii="Cambria" w:hAnsi="Cambria" w:cs="Times New Roman"/>
          <w:sz w:val="24"/>
          <w:szCs w:val="24"/>
        </w:rPr>
        <w:t xml:space="preserve"> </w:t>
      </w:r>
      <w:r w:rsidR="00EC293B" w:rsidRPr="005F4F79">
        <w:rPr>
          <w:rFonts w:ascii="Cambria" w:hAnsi="Cambria" w:cs="Times New Roman"/>
          <w:sz w:val="24"/>
          <w:szCs w:val="24"/>
        </w:rPr>
        <w:t xml:space="preserve">level </w:t>
      </w:r>
      <w:r w:rsidR="00E628BD">
        <w:rPr>
          <w:rFonts w:ascii="Cambria" w:hAnsi="Cambria" w:cs="Times New Roman"/>
          <w:sz w:val="24"/>
          <w:szCs w:val="24"/>
        </w:rPr>
        <w:t>o</w:t>
      </w:r>
      <w:r w:rsidR="00124D03">
        <w:rPr>
          <w:rFonts w:ascii="Cambria" w:hAnsi="Cambria" w:cs="Times New Roman"/>
          <w:sz w:val="24"/>
          <w:szCs w:val="24"/>
        </w:rPr>
        <w:t>nly previously seen during</w:t>
      </w:r>
      <w:r w:rsidR="00E3101C">
        <w:rPr>
          <w:rFonts w:ascii="Cambria" w:hAnsi="Cambria" w:cs="Times New Roman"/>
          <w:sz w:val="24"/>
          <w:szCs w:val="24"/>
        </w:rPr>
        <w:t xml:space="preserve"> </w:t>
      </w:r>
      <w:r w:rsidR="007F78C4" w:rsidRPr="005F4F79">
        <w:rPr>
          <w:rFonts w:ascii="Cambria" w:hAnsi="Cambria" w:cs="Times New Roman"/>
          <w:sz w:val="24"/>
          <w:szCs w:val="24"/>
        </w:rPr>
        <w:t>the first four years of the Obama presidency.</w:t>
      </w:r>
      <w:r w:rsidR="001C0DE4">
        <w:rPr>
          <w:rStyle w:val="EndnoteReference"/>
          <w:rFonts w:ascii="Cambria" w:hAnsi="Cambria" w:cs="Times New Roman"/>
          <w:sz w:val="24"/>
          <w:szCs w:val="24"/>
        </w:rPr>
        <w:endnoteReference w:id="3"/>
      </w:r>
      <w:r w:rsidR="000948A6" w:rsidRPr="000948A6">
        <w:rPr>
          <w:noProof/>
        </w:rPr>
        <w:t xml:space="preserve"> </w:t>
      </w:r>
    </w:p>
    <w:p w14:paraId="5CF8F5E5" w14:textId="6ACAFF7D" w:rsidR="007F78C4" w:rsidRPr="00784E20" w:rsidRDefault="007F78C4" w:rsidP="001B0D96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3960C371" w14:textId="38308582" w:rsidR="00193CB1" w:rsidRPr="005F4F79" w:rsidRDefault="00193CB1" w:rsidP="00193CB1">
      <w:pPr>
        <w:pStyle w:val="ListParagraph"/>
        <w:numPr>
          <w:ilvl w:val="0"/>
          <w:numId w:val="9"/>
        </w:numPr>
        <w:rPr>
          <w:rFonts w:ascii="Cambria" w:hAnsi="Cambria" w:cs="Times New Roman"/>
          <w:b/>
          <w:sz w:val="24"/>
          <w:szCs w:val="24"/>
        </w:rPr>
      </w:pPr>
      <w:r w:rsidRPr="005F4F79">
        <w:rPr>
          <w:rFonts w:ascii="Cambria" w:hAnsi="Cambria" w:cs="Times New Roman"/>
          <w:b/>
          <w:sz w:val="24"/>
          <w:szCs w:val="24"/>
        </w:rPr>
        <w:t xml:space="preserve">Mandatory Spending + No Reforms = 70% </w:t>
      </w:r>
      <w:r w:rsidR="002704C5" w:rsidRPr="005F4F79">
        <w:rPr>
          <w:rFonts w:ascii="Cambria" w:hAnsi="Cambria" w:cs="Times New Roman"/>
          <w:b/>
          <w:sz w:val="24"/>
          <w:szCs w:val="24"/>
        </w:rPr>
        <w:t>Hike in</w:t>
      </w:r>
      <w:r w:rsidRPr="005F4F79">
        <w:rPr>
          <w:rFonts w:ascii="Cambria" w:hAnsi="Cambria" w:cs="Times New Roman"/>
          <w:b/>
          <w:sz w:val="24"/>
          <w:szCs w:val="24"/>
        </w:rPr>
        <w:t xml:space="preserve"> Mandatory Spending</w:t>
      </w:r>
    </w:p>
    <w:p w14:paraId="65FAAD80" w14:textId="48C57A8A" w:rsidR="00F6712E" w:rsidRPr="00784E20" w:rsidRDefault="00124D03" w:rsidP="00F6712E">
      <w:pPr>
        <w:pStyle w:val="ListParagraph"/>
        <w:rPr>
          <w:rFonts w:ascii="Cambria" w:hAnsi="Cambria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020BAAF" wp14:editId="07F98FFB">
            <wp:simplePos x="0" y="0"/>
            <wp:positionH relativeFrom="margin">
              <wp:align>left</wp:align>
            </wp:positionH>
            <wp:positionV relativeFrom="paragraph">
              <wp:posOffset>194597</wp:posOffset>
            </wp:positionV>
            <wp:extent cx="3892634" cy="1167485"/>
            <wp:effectExtent l="0" t="0" r="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634" cy="116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433" w:rsidRPr="005F4F79">
        <w:rPr>
          <w:rFonts w:ascii="Cambria" w:hAnsi="Cambria" w:cs="Times New Roman"/>
          <w:sz w:val="24"/>
          <w:szCs w:val="24"/>
        </w:rPr>
        <w:t xml:space="preserve">Without reforms, CBO projects that </w:t>
      </w:r>
      <w:r w:rsidR="005B18B8" w:rsidRPr="005F4F79">
        <w:rPr>
          <w:rFonts w:ascii="Cambria" w:hAnsi="Cambria" w:cs="Times New Roman"/>
          <w:sz w:val="24"/>
          <w:szCs w:val="24"/>
        </w:rPr>
        <w:t>mandatory spending will increase by 70% over the decade.</w:t>
      </w:r>
      <w:r w:rsidR="001C0DE4">
        <w:rPr>
          <w:rStyle w:val="EndnoteReference"/>
          <w:rFonts w:ascii="Cambria" w:hAnsi="Cambria" w:cs="Times New Roman"/>
          <w:sz w:val="24"/>
          <w:szCs w:val="24"/>
        </w:rPr>
        <w:endnoteReference w:id="4"/>
      </w:r>
      <w:r w:rsidR="005B18B8" w:rsidRPr="005F4F79">
        <w:rPr>
          <w:rFonts w:ascii="Cambria" w:hAnsi="Cambria" w:cs="Times New Roman"/>
          <w:sz w:val="24"/>
          <w:szCs w:val="24"/>
        </w:rPr>
        <w:t xml:space="preserve">  In fact, mandatory spending and interest on the debt will consume over 96% of revenues by 2026, </w:t>
      </w:r>
      <w:r w:rsidR="008373D1">
        <w:rPr>
          <w:rFonts w:ascii="Cambria" w:hAnsi="Cambria" w:cs="Times New Roman"/>
          <w:sz w:val="24"/>
          <w:szCs w:val="24"/>
        </w:rPr>
        <w:t>crowding out</w:t>
      </w:r>
      <w:r w:rsidR="005B18B8" w:rsidRPr="005F4F79">
        <w:rPr>
          <w:rFonts w:ascii="Cambria" w:hAnsi="Cambria" w:cs="Times New Roman"/>
          <w:sz w:val="24"/>
          <w:szCs w:val="24"/>
        </w:rPr>
        <w:t xml:space="preserve"> important priorities like national defense</w:t>
      </w:r>
      <w:r w:rsidR="008373D1">
        <w:rPr>
          <w:rFonts w:ascii="Cambria" w:hAnsi="Cambria" w:cs="Times New Roman"/>
          <w:sz w:val="24"/>
          <w:szCs w:val="24"/>
        </w:rPr>
        <w:t xml:space="preserve"> and forcing massive government borrowing</w:t>
      </w:r>
      <w:r w:rsidR="005B18B8" w:rsidRPr="005F4F79">
        <w:rPr>
          <w:rFonts w:ascii="Cambria" w:hAnsi="Cambria" w:cs="Times New Roman"/>
          <w:sz w:val="24"/>
          <w:szCs w:val="24"/>
        </w:rPr>
        <w:t>.</w:t>
      </w:r>
      <w:r w:rsidR="008644A6">
        <w:rPr>
          <w:rStyle w:val="EndnoteReference"/>
          <w:rFonts w:ascii="Cambria" w:hAnsi="Cambria" w:cs="Times New Roman"/>
          <w:sz w:val="24"/>
          <w:szCs w:val="24"/>
        </w:rPr>
        <w:endnoteReference w:id="5"/>
      </w:r>
      <w:r w:rsidR="00666AF0">
        <w:rPr>
          <w:rFonts w:ascii="Cambria" w:hAnsi="Cambria" w:cs="Times New Roman"/>
          <w:sz w:val="24"/>
          <w:szCs w:val="24"/>
        </w:rPr>
        <w:br/>
      </w:r>
    </w:p>
    <w:p w14:paraId="279F7FF0" w14:textId="77777777" w:rsidR="00305B97" w:rsidRDefault="00305B97" w:rsidP="00305B97">
      <w:pPr>
        <w:pStyle w:val="ListParagraph"/>
        <w:rPr>
          <w:rFonts w:ascii="Cambria" w:hAnsi="Cambria" w:cs="Times New Roman"/>
          <w:b/>
          <w:sz w:val="24"/>
          <w:szCs w:val="24"/>
        </w:rPr>
      </w:pPr>
    </w:p>
    <w:p w14:paraId="2C63891B" w14:textId="0BF8DFA5" w:rsidR="001E782B" w:rsidRPr="005F4F79" w:rsidRDefault="008373D1" w:rsidP="00193CB1">
      <w:pPr>
        <w:pStyle w:val="ListParagraph"/>
        <w:numPr>
          <w:ilvl w:val="0"/>
          <w:numId w:val="9"/>
        </w:num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Growing </w:t>
      </w:r>
      <w:r w:rsidR="002E4C93">
        <w:rPr>
          <w:rFonts w:ascii="Cambria" w:hAnsi="Cambria" w:cs="Times New Roman"/>
          <w:b/>
          <w:sz w:val="24"/>
          <w:szCs w:val="24"/>
        </w:rPr>
        <w:t xml:space="preserve"> </w:t>
      </w:r>
      <w:r w:rsidR="001E782B" w:rsidRPr="005F4F79">
        <w:rPr>
          <w:rFonts w:ascii="Cambria" w:hAnsi="Cambria" w:cs="Times New Roman"/>
          <w:b/>
          <w:sz w:val="24"/>
          <w:szCs w:val="24"/>
        </w:rPr>
        <w:t xml:space="preserve">Interest </w:t>
      </w:r>
      <w:r w:rsidR="00153350" w:rsidRPr="005F4F79">
        <w:rPr>
          <w:rFonts w:ascii="Cambria" w:hAnsi="Cambria" w:cs="Times New Roman"/>
          <w:b/>
          <w:sz w:val="24"/>
          <w:szCs w:val="24"/>
        </w:rPr>
        <w:t xml:space="preserve">Rates </w:t>
      </w:r>
      <w:r w:rsidR="001E782B" w:rsidRPr="005F4F79">
        <w:rPr>
          <w:rFonts w:ascii="Cambria" w:hAnsi="Cambria" w:cs="Times New Roman"/>
          <w:b/>
          <w:sz w:val="24"/>
          <w:szCs w:val="24"/>
        </w:rPr>
        <w:t xml:space="preserve">+ </w:t>
      </w:r>
      <w:r w:rsidR="007A737B" w:rsidRPr="005F4F79">
        <w:rPr>
          <w:rFonts w:ascii="Cambria" w:hAnsi="Cambria" w:cs="Times New Roman"/>
          <w:b/>
          <w:sz w:val="24"/>
          <w:szCs w:val="24"/>
        </w:rPr>
        <w:t xml:space="preserve">Growing </w:t>
      </w:r>
      <w:r w:rsidR="001E782B" w:rsidRPr="005F4F79">
        <w:rPr>
          <w:rFonts w:ascii="Cambria" w:hAnsi="Cambria" w:cs="Times New Roman"/>
          <w:b/>
          <w:sz w:val="24"/>
          <w:szCs w:val="24"/>
        </w:rPr>
        <w:t xml:space="preserve">Deficits = </w:t>
      </w:r>
      <w:r w:rsidR="0087636D">
        <w:rPr>
          <w:rFonts w:ascii="Cambria" w:hAnsi="Cambria" w:cs="Times New Roman"/>
          <w:b/>
          <w:sz w:val="24"/>
          <w:szCs w:val="24"/>
        </w:rPr>
        <w:t>3X</w:t>
      </w:r>
      <w:r w:rsidR="002704C5" w:rsidRPr="005F4F79">
        <w:rPr>
          <w:rFonts w:ascii="Cambria" w:hAnsi="Cambria" w:cs="Times New Roman"/>
          <w:b/>
          <w:sz w:val="24"/>
          <w:szCs w:val="24"/>
        </w:rPr>
        <w:t xml:space="preserve"> </w:t>
      </w:r>
      <w:r w:rsidR="001E782B" w:rsidRPr="005F4F79">
        <w:rPr>
          <w:rFonts w:ascii="Cambria" w:hAnsi="Cambria" w:cs="Times New Roman"/>
          <w:b/>
          <w:sz w:val="24"/>
          <w:szCs w:val="24"/>
        </w:rPr>
        <w:t xml:space="preserve">Interest </w:t>
      </w:r>
      <w:r w:rsidR="007A737B" w:rsidRPr="005F4F79">
        <w:rPr>
          <w:rFonts w:ascii="Cambria" w:hAnsi="Cambria" w:cs="Times New Roman"/>
          <w:b/>
          <w:sz w:val="24"/>
          <w:szCs w:val="24"/>
        </w:rPr>
        <w:t>Payments</w:t>
      </w:r>
      <w:r w:rsidR="002704C5" w:rsidRPr="005F4F79">
        <w:rPr>
          <w:rFonts w:ascii="Cambria" w:hAnsi="Cambria" w:cs="Times New Roman"/>
          <w:b/>
          <w:sz w:val="24"/>
          <w:szCs w:val="24"/>
        </w:rPr>
        <w:t xml:space="preserve"> on Debt</w:t>
      </w:r>
    </w:p>
    <w:p w14:paraId="5CCFE592" w14:textId="6D85F32D" w:rsidR="00BA5433" w:rsidRDefault="00B656EB" w:rsidP="001B0D96">
      <w:pPr>
        <w:pStyle w:val="ListParagrap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636B5206" wp14:editId="02166567">
            <wp:simplePos x="0" y="0"/>
            <wp:positionH relativeFrom="margin">
              <wp:align>right</wp:align>
            </wp:positionH>
            <wp:positionV relativeFrom="paragraph">
              <wp:posOffset>116840</wp:posOffset>
            </wp:positionV>
            <wp:extent cx="3221990" cy="17049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" t="5865" b="9350"/>
                    <a:stretch/>
                  </pic:blipFill>
                  <pic:spPr bwMode="auto">
                    <a:xfrm>
                      <a:off x="0" y="0"/>
                      <a:ext cx="322199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DD3" w:rsidRPr="005F4F79">
        <w:rPr>
          <w:rFonts w:ascii="Cambria" w:hAnsi="Cambria" w:cs="Times New Roman"/>
          <w:sz w:val="24"/>
          <w:szCs w:val="24"/>
        </w:rPr>
        <w:t>A weak economy caused CBO to</w:t>
      </w:r>
      <w:r w:rsidR="00606C5B">
        <w:rPr>
          <w:rFonts w:ascii="Cambria" w:hAnsi="Cambria" w:cs="Times New Roman"/>
          <w:sz w:val="24"/>
          <w:szCs w:val="24"/>
        </w:rPr>
        <w:t xml:space="preserve"> delay </w:t>
      </w:r>
      <w:r w:rsidR="008D1F3B">
        <w:rPr>
          <w:rFonts w:ascii="Cambria" w:hAnsi="Cambria" w:cs="Times New Roman"/>
          <w:sz w:val="24"/>
          <w:szCs w:val="24"/>
        </w:rPr>
        <w:t>the</w:t>
      </w:r>
      <w:r w:rsidR="00606C5B">
        <w:rPr>
          <w:rFonts w:ascii="Cambria" w:hAnsi="Cambria" w:cs="Times New Roman"/>
          <w:sz w:val="24"/>
          <w:szCs w:val="24"/>
        </w:rPr>
        <w:t xml:space="preserve"> </w:t>
      </w:r>
      <w:r w:rsidR="00717DD3" w:rsidRPr="005F4F79">
        <w:rPr>
          <w:rFonts w:ascii="Cambria" w:hAnsi="Cambria" w:cs="Times New Roman"/>
          <w:sz w:val="24"/>
          <w:szCs w:val="24"/>
        </w:rPr>
        <w:t xml:space="preserve"> projected rise in interest rates</w:t>
      </w:r>
      <w:r w:rsidR="00BA5433" w:rsidRPr="005F4F79">
        <w:rPr>
          <w:rFonts w:ascii="Cambria" w:hAnsi="Cambria" w:cs="Times New Roman"/>
          <w:sz w:val="24"/>
          <w:szCs w:val="24"/>
        </w:rPr>
        <w:t>, but CBO still pr</w:t>
      </w:r>
      <w:r w:rsidR="00F6712E" w:rsidRPr="005F4F79">
        <w:rPr>
          <w:rFonts w:ascii="Cambria" w:hAnsi="Cambria" w:cs="Times New Roman"/>
          <w:sz w:val="24"/>
          <w:szCs w:val="24"/>
        </w:rPr>
        <w:t xml:space="preserve">edicts </w:t>
      </w:r>
      <w:r w:rsidR="00153350" w:rsidRPr="005F4F79">
        <w:rPr>
          <w:rFonts w:ascii="Cambria" w:hAnsi="Cambria" w:cs="Times New Roman"/>
          <w:sz w:val="24"/>
          <w:szCs w:val="24"/>
        </w:rPr>
        <w:t xml:space="preserve">that with </w:t>
      </w:r>
      <w:r w:rsidR="008D1F3B">
        <w:rPr>
          <w:rFonts w:ascii="Cambria" w:hAnsi="Cambria" w:cs="Times New Roman"/>
          <w:sz w:val="24"/>
          <w:szCs w:val="24"/>
        </w:rPr>
        <w:t>rising</w:t>
      </w:r>
      <w:r w:rsidR="00606C5B">
        <w:rPr>
          <w:rFonts w:ascii="Cambria" w:hAnsi="Cambria" w:cs="Times New Roman"/>
          <w:sz w:val="24"/>
          <w:szCs w:val="24"/>
        </w:rPr>
        <w:t xml:space="preserve"> rates and </w:t>
      </w:r>
      <w:r w:rsidR="008D1F3B">
        <w:rPr>
          <w:rFonts w:ascii="Cambria" w:hAnsi="Cambria" w:cs="Times New Roman"/>
          <w:sz w:val="24"/>
          <w:szCs w:val="24"/>
        </w:rPr>
        <w:t>growing</w:t>
      </w:r>
      <w:r w:rsidR="00BA5433" w:rsidRPr="005F4F79">
        <w:rPr>
          <w:rFonts w:ascii="Cambria" w:hAnsi="Cambria" w:cs="Times New Roman"/>
          <w:sz w:val="24"/>
          <w:szCs w:val="24"/>
        </w:rPr>
        <w:t xml:space="preserve"> deficit spending</w:t>
      </w:r>
      <w:r w:rsidR="00153350" w:rsidRPr="005F4F79">
        <w:rPr>
          <w:rFonts w:ascii="Cambria" w:hAnsi="Cambria" w:cs="Times New Roman"/>
          <w:sz w:val="24"/>
          <w:szCs w:val="24"/>
        </w:rPr>
        <w:t xml:space="preserve">, </w:t>
      </w:r>
      <w:r w:rsidR="00BA5433" w:rsidRPr="005F4F79">
        <w:rPr>
          <w:rFonts w:ascii="Cambria" w:hAnsi="Cambria" w:cs="Times New Roman"/>
          <w:sz w:val="24"/>
          <w:szCs w:val="24"/>
        </w:rPr>
        <w:t xml:space="preserve">interest payments on the national debt </w:t>
      </w:r>
      <w:r w:rsidR="00153350" w:rsidRPr="005F4F79">
        <w:rPr>
          <w:rFonts w:ascii="Cambria" w:hAnsi="Cambria" w:cs="Times New Roman"/>
          <w:sz w:val="24"/>
          <w:szCs w:val="24"/>
        </w:rPr>
        <w:t>will</w:t>
      </w:r>
      <w:r w:rsidR="008644A6">
        <w:rPr>
          <w:rFonts w:ascii="Cambria" w:hAnsi="Cambria" w:cs="Times New Roman"/>
          <w:sz w:val="24"/>
          <w:szCs w:val="24"/>
        </w:rPr>
        <w:t xml:space="preserve"> nearly</w:t>
      </w:r>
      <w:r w:rsidR="00153350" w:rsidRPr="005F4F79">
        <w:rPr>
          <w:rFonts w:ascii="Cambria" w:hAnsi="Cambria" w:cs="Times New Roman"/>
          <w:sz w:val="24"/>
          <w:szCs w:val="24"/>
        </w:rPr>
        <w:t xml:space="preserve"> triple </w:t>
      </w:r>
      <w:r w:rsidR="00BA5433" w:rsidRPr="005F4F79">
        <w:rPr>
          <w:rFonts w:ascii="Cambria" w:hAnsi="Cambria" w:cs="Times New Roman"/>
          <w:sz w:val="24"/>
          <w:szCs w:val="24"/>
        </w:rPr>
        <w:t>over the decade</w:t>
      </w:r>
      <w:r w:rsidR="008644A6">
        <w:rPr>
          <w:rFonts w:ascii="Cambria" w:hAnsi="Cambria" w:cs="Times New Roman"/>
          <w:sz w:val="24"/>
          <w:szCs w:val="24"/>
        </w:rPr>
        <w:t>, from $248 billion in 2016 to $712 billion in 2026</w:t>
      </w:r>
      <w:r w:rsidR="00BA5433" w:rsidRPr="005F4F79">
        <w:rPr>
          <w:rFonts w:ascii="Cambria" w:hAnsi="Cambria" w:cs="Times New Roman"/>
          <w:sz w:val="24"/>
          <w:szCs w:val="24"/>
        </w:rPr>
        <w:t>.</w:t>
      </w:r>
      <w:r w:rsidR="008644A6">
        <w:rPr>
          <w:rStyle w:val="EndnoteReference"/>
          <w:rFonts w:ascii="Cambria" w:hAnsi="Cambria" w:cs="Times New Roman"/>
          <w:sz w:val="24"/>
          <w:szCs w:val="24"/>
        </w:rPr>
        <w:endnoteReference w:id="6"/>
      </w:r>
      <w:r w:rsidR="00BA5433" w:rsidRPr="005F4F79">
        <w:rPr>
          <w:rFonts w:ascii="Cambria" w:hAnsi="Cambria" w:cs="Times New Roman"/>
          <w:sz w:val="24"/>
          <w:szCs w:val="24"/>
        </w:rPr>
        <w:t xml:space="preserve">  In fact, </w:t>
      </w:r>
      <w:r w:rsidR="001B0D96">
        <w:rPr>
          <w:rFonts w:ascii="Cambria" w:hAnsi="Cambria" w:cs="Times New Roman"/>
          <w:sz w:val="24"/>
          <w:szCs w:val="24"/>
        </w:rPr>
        <w:t>borrowing costs</w:t>
      </w:r>
      <w:r w:rsidR="00BA5433" w:rsidRPr="005F4F79">
        <w:rPr>
          <w:rFonts w:ascii="Cambria" w:hAnsi="Cambria" w:cs="Times New Roman"/>
          <w:sz w:val="24"/>
          <w:szCs w:val="24"/>
        </w:rPr>
        <w:t xml:space="preserve"> will </w:t>
      </w:r>
      <w:r w:rsidR="003402AB" w:rsidRPr="005F4F79">
        <w:rPr>
          <w:rFonts w:ascii="Cambria" w:hAnsi="Cambria" w:cs="Times New Roman"/>
          <w:sz w:val="24"/>
          <w:szCs w:val="24"/>
        </w:rPr>
        <w:t xml:space="preserve">virtually tie with national defense as </w:t>
      </w:r>
      <w:r w:rsidR="00BA5433" w:rsidRPr="005F4F79">
        <w:rPr>
          <w:rFonts w:ascii="Cambria" w:hAnsi="Cambria" w:cs="Times New Roman"/>
          <w:sz w:val="24"/>
          <w:szCs w:val="24"/>
        </w:rPr>
        <w:t xml:space="preserve">our </w:t>
      </w:r>
      <w:r w:rsidR="00BA5433" w:rsidRPr="005F4F79">
        <w:rPr>
          <w:rFonts w:ascii="Cambria" w:hAnsi="Cambria" w:cs="Times New Roman"/>
          <w:i/>
          <w:sz w:val="24"/>
          <w:szCs w:val="24"/>
        </w:rPr>
        <w:t>third largest spending program</w:t>
      </w:r>
      <w:r w:rsidR="00F6712E" w:rsidRPr="005F4F79">
        <w:rPr>
          <w:rFonts w:ascii="Cambria" w:hAnsi="Cambria" w:cs="Times New Roman"/>
          <w:sz w:val="24"/>
          <w:szCs w:val="24"/>
        </w:rPr>
        <w:t xml:space="preserve">.  Other than </w:t>
      </w:r>
      <w:r w:rsidR="0011296F" w:rsidRPr="005F4F79">
        <w:rPr>
          <w:rFonts w:ascii="Cambria" w:hAnsi="Cambria" w:cs="Times New Roman"/>
          <w:sz w:val="24"/>
          <w:szCs w:val="24"/>
        </w:rPr>
        <w:t xml:space="preserve">major health programs and </w:t>
      </w:r>
      <w:r w:rsidR="00F6712E" w:rsidRPr="005F4F79">
        <w:rPr>
          <w:rFonts w:ascii="Cambria" w:hAnsi="Cambria" w:cs="Times New Roman"/>
          <w:sz w:val="24"/>
          <w:szCs w:val="24"/>
        </w:rPr>
        <w:t xml:space="preserve">Social Security, </w:t>
      </w:r>
      <w:r w:rsidR="003402AB" w:rsidRPr="005F4F79">
        <w:rPr>
          <w:rFonts w:ascii="Cambria" w:hAnsi="Cambria" w:cs="Times New Roman"/>
          <w:sz w:val="24"/>
          <w:szCs w:val="24"/>
        </w:rPr>
        <w:t xml:space="preserve">interest on the debt </w:t>
      </w:r>
      <w:r w:rsidR="00BA5433" w:rsidRPr="005F4F79">
        <w:rPr>
          <w:rFonts w:ascii="Cambria" w:hAnsi="Cambria" w:cs="Times New Roman"/>
          <w:sz w:val="24"/>
          <w:szCs w:val="24"/>
        </w:rPr>
        <w:t>will grow more quickly than</w:t>
      </w:r>
      <w:r w:rsidR="005943C1" w:rsidRPr="005F4F79">
        <w:rPr>
          <w:rFonts w:ascii="Cambria" w:hAnsi="Cambria" w:cs="Times New Roman"/>
          <w:sz w:val="24"/>
          <w:szCs w:val="24"/>
        </w:rPr>
        <w:t xml:space="preserve"> all other government programs</w:t>
      </w:r>
      <w:r w:rsidR="00BA5433" w:rsidRPr="005F4F79">
        <w:rPr>
          <w:rFonts w:ascii="Cambria" w:hAnsi="Cambria" w:cs="Times New Roman"/>
          <w:i/>
          <w:sz w:val="24"/>
          <w:szCs w:val="24"/>
        </w:rPr>
        <w:t xml:space="preserve"> combined</w:t>
      </w:r>
      <w:r w:rsidR="00BA5433" w:rsidRPr="005F4F79">
        <w:rPr>
          <w:rFonts w:ascii="Cambria" w:hAnsi="Cambria" w:cs="Times New Roman"/>
          <w:sz w:val="24"/>
          <w:szCs w:val="24"/>
        </w:rPr>
        <w:t>.</w:t>
      </w:r>
    </w:p>
    <w:p w14:paraId="357DA5DB" w14:textId="77777777" w:rsidR="00517607" w:rsidRDefault="00517607" w:rsidP="001B0D96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2EFAF7D3" w14:textId="77777777" w:rsidR="00441820" w:rsidRDefault="00441820" w:rsidP="00441820">
      <w:pPr>
        <w:pStyle w:val="ListParagraph"/>
        <w:rPr>
          <w:rFonts w:ascii="Cambria" w:hAnsi="Cambria" w:cs="Times New Roman"/>
          <w:b/>
          <w:sz w:val="24"/>
          <w:szCs w:val="24"/>
        </w:rPr>
      </w:pPr>
    </w:p>
    <w:p w14:paraId="6910D74D" w14:textId="0B8A7E77" w:rsidR="00193CB1" w:rsidRPr="005F4F79" w:rsidRDefault="0029626E" w:rsidP="00193CB1">
      <w:pPr>
        <w:pStyle w:val="ListParagraph"/>
        <w:numPr>
          <w:ilvl w:val="0"/>
          <w:numId w:val="9"/>
        </w:numPr>
        <w:rPr>
          <w:rFonts w:ascii="Cambria" w:hAnsi="Cambria" w:cs="Times New Roman"/>
          <w:b/>
          <w:sz w:val="24"/>
          <w:szCs w:val="24"/>
        </w:rPr>
      </w:pPr>
      <w:r w:rsidRPr="005F4F79">
        <w:rPr>
          <w:rFonts w:ascii="Cambria" w:hAnsi="Cambria" w:cs="Times New Roman"/>
          <w:b/>
          <w:sz w:val="24"/>
          <w:szCs w:val="24"/>
        </w:rPr>
        <w:t xml:space="preserve">Growing </w:t>
      </w:r>
      <w:r w:rsidR="007F1797" w:rsidRPr="005F4F79">
        <w:rPr>
          <w:rFonts w:ascii="Cambria" w:hAnsi="Cambria" w:cs="Times New Roman"/>
          <w:b/>
          <w:sz w:val="24"/>
          <w:szCs w:val="24"/>
        </w:rPr>
        <w:t xml:space="preserve">Debt + Inaction </w:t>
      </w:r>
      <w:r w:rsidR="00193CB1" w:rsidRPr="005F4F79">
        <w:rPr>
          <w:rFonts w:ascii="Cambria" w:hAnsi="Cambria" w:cs="Times New Roman"/>
          <w:b/>
          <w:sz w:val="24"/>
          <w:szCs w:val="24"/>
        </w:rPr>
        <w:t xml:space="preserve">= </w:t>
      </w:r>
      <w:r w:rsidR="00614B5D" w:rsidRPr="005F4F79">
        <w:rPr>
          <w:rFonts w:ascii="Cambria" w:hAnsi="Cambria" w:cs="Times New Roman"/>
          <w:b/>
          <w:sz w:val="24"/>
          <w:szCs w:val="24"/>
        </w:rPr>
        <w:t xml:space="preserve">Likely </w:t>
      </w:r>
      <w:r w:rsidR="007A737B" w:rsidRPr="005F4F79">
        <w:rPr>
          <w:rFonts w:ascii="Cambria" w:hAnsi="Cambria" w:cs="Times New Roman"/>
          <w:b/>
          <w:sz w:val="24"/>
          <w:szCs w:val="24"/>
        </w:rPr>
        <w:t>Fiscal Crisis</w:t>
      </w:r>
      <w:r w:rsidR="006D0D14" w:rsidRPr="005F4F79">
        <w:rPr>
          <w:rFonts w:ascii="Cambria" w:hAnsi="Cambria" w:cs="Times New Roman"/>
          <w:b/>
          <w:sz w:val="24"/>
          <w:szCs w:val="24"/>
        </w:rPr>
        <w:t xml:space="preserve"> + Shrinking Paychecks</w:t>
      </w:r>
    </w:p>
    <w:p w14:paraId="4C9706F8" w14:textId="294A2B1A" w:rsidR="00FB2D13" w:rsidRPr="00784E20" w:rsidRDefault="00B656EB" w:rsidP="000D4829">
      <w:pPr>
        <w:pStyle w:val="ListParagrap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6FF8897C" wp14:editId="05FC23FA">
            <wp:simplePos x="0" y="0"/>
            <wp:positionH relativeFrom="column">
              <wp:posOffset>123190</wp:posOffset>
            </wp:positionH>
            <wp:positionV relativeFrom="paragraph">
              <wp:posOffset>440690</wp:posOffset>
            </wp:positionV>
            <wp:extent cx="3857625" cy="260858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60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D13" w:rsidRPr="005F4F79">
        <w:rPr>
          <w:rFonts w:ascii="Cambria" w:hAnsi="Cambria" w:cs="Times New Roman"/>
          <w:sz w:val="24"/>
          <w:szCs w:val="24"/>
        </w:rPr>
        <w:t xml:space="preserve">The national debt </w:t>
      </w:r>
      <w:r w:rsidR="0060704B" w:rsidRPr="005F4F79">
        <w:rPr>
          <w:rFonts w:ascii="Cambria" w:hAnsi="Cambria" w:cs="Times New Roman"/>
          <w:sz w:val="24"/>
          <w:szCs w:val="24"/>
        </w:rPr>
        <w:t xml:space="preserve">under President Obama has nearly doubled to an astounding </w:t>
      </w:r>
      <w:r w:rsidR="00FB2D13" w:rsidRPr="005F4F79">
        <w:rPr>
          <w:rFonts w:ascii="Cambria" w:hAnsi="Cambria" w:cs="Times New Roman"/>
          <w:sz w:val="24"/>
          <w:szCs w:val="24"/>
        </w:rPr>
        <w:t>$19.4 trillion</w:t>
      </w:r>
      <w:r w:rsidR="0029626E" w:rsidRPr="005F4F79">
        <w:rPr>
          <w:rFonts w:ascii="Cambria" w:hAnsi="Cambria" w:cs="Times New Roman"/>
          <w:sz w:val="24"/>
          <w:szCs w:val="24"/>
        </w:rPr>
        <w:t>.</w:t>
      </w:r>
      <w:r w:rsidR="001C0DE4" w:rsidRPr="005F4F79">
        <w:rPr>
          <w:rStyle w:val="EndnoteReference"/>
          <w:rFonts w:ascii="Cambria" w:hAnsi="Cambria" w:cs="Times New Roman"/>
          <w:sz w:val="24"/>
          <w:szCs w:val="24"/>
        </w:rPr>
        <w:endnoteReference w:id="7"/>
      </w:r>
      <w:r w:rsidR="001C0DE4" w:rsidRPr="005F4F79">
        <w:rPr>
          <w:rFonts w:ascii="Cambria" w:hAnsi="Cambria" w:cs="Times New Roman"/>
          <w:sz w:val="24"/>
          <w:szCs w:val="24"/>
        </w:rPr>
        <w:t xml:space="preserve">  The portion of the debt owed to U.S. and foreign investors now represents the largest share of the economy since 1950, </w:t>
      </w:r>
      <w:r w:rsidR="0029626E" w:rsidRPr="005F4F79">
        <w:rPr>
          <w:rFonts w:ascii="Cambria" w:hAnsi="Cambria" w:cs="Times New Roman"/>
          <w:sz w:val="24"/>
          <w:szCs w:val="24"/>
        </w:rPr>
        <w:t xml:space="preserve">and it is on track to </w:t>
      </w:r>
      <w:r w:rsidR="006478D2" w:rsidRPr="005F4F79">
        <w:rPr>
          <w:rFonts w:ascii="Cambria" w:hAnsi="Cambria" w:cs="Times New Roman"/>
          <w:sz w:val="24"/>
          <w:szCs w:val="24"/>
        </w:rPr>
        <w:t xml:space="preserve">hit the highest </w:t>
      </w:r>
      <w:r w:rsidR="00041453" w:rsidRPr="005F4F79">
        <w:rPr>
          <w:rFonts w:ascii="Cambria" w:hAnsi="Cambria" w:cs="Times New Roman"/>
          <w:sz w:val="24"/>
          <w:szCs w:val="24"/>
        </w:rPr>
        <w:t xml:space="preserve">level </w:t>
      </w:r>
      <w:r w:rsidR="006478D2" w:rsidRPr="005F4F79">
        <w:rPr>
          <w:rFonts w:ascii="Cambria" w:hAnsi="Cambria" w:cs="Times New Roman"/>
          <w:sz w:val="24"/>
          <w:szCs w:val="24"/>
        </w:rPr>
        <w:t>in recorded history.</w:t>
      </w:r>
      <w:r w:rsidR="006478D2" w:rsidRPr="005F4F79">
        <w:rPr>
          <w:rStyle w:val="EndnoteReference"/>
          <w:rFonts w:ascii="Cambria" w:hAnsi="Cambria" w:cs="Times New Roman"/>
          <w:sz w:val="24"/>
          <w:szCs w:val="24"/>
        </w:rPr>
        <w:endnoteReference w:id="8"/>
      </w:r>
      <w:r w:rsidR="007B23DD" w:rsidRPr="005F4F79">
        <w:rPr>
          <w:rFonts w:ascii="Cambria" w:hAnsi="Cambria" w:cs="Times New Roman"/>
          <w:sz w:val="24"/>
          <w:szCs w:val="24"/>
        </w:rPr>
        <w:t xml:space="preserve">  </w:t>
      </w:r>
      <w:r w:rsidR="002B3E4D" w:rsidRPr="005F4F79">
        <w:rPr>
          <w:rFonts w:ascii="Cambria" w:hAnsi="Cambria" w:cs="Times New Roman"/>
          <w:sz w:val="24"/>
          <w:szCs w:val="24"/>
        </w:rPr>
        <w:t xml:space="preserve">CBO warns that </w:t>
      </w:r>
      <w:r w:rsidR="005943C1" w:rsidRPr="005F4F79">
        <w:rPr>
          <w:rFonts w:ascii="Cambria" w:hAnsi="Cambria" w:cs="Times New Roman"/>
          <w:sz w:val="24"/>
          <w:szCs w:val="24"/>
        </w:rPr>
        <w:t>the</w:t>
      </w:r>
      <w:r w:rsidR="002B3E4D" w:rsidRPr="005F4F79">
        <w:rPr>
          <w:rFonts w:ascii="Cambria" w:hAnsi="Cambria" w:cs="Times New Roman"/>
          <w:sz w:val="24"/>
          <w:szCs w:val="24"/>
        </w:rPr>
        <w:t xml:space="preserve"> current debt trajectory </w:t>
      </w:r>
      <w:r w:rsidR="006D0D14" w:rsidRPr="005F4F79">
        <w:rPr>
          <w:rFonts w:ascii="Cambria" w:hAnsi="Cambria" w:cs="Times New Roman"/>
          <w:sz w:val="24"/>
          <w:szCs w:val="24"/>
        </w:rPr>
        <w:t xml:space="preserve">risks </w:t>
      </w:r>
      <w:r w:rsidR="002B3E4D" w:rsidRPr="005F4F79">
        <w:rPr>
          <w:rFonts w:ascii="Cambria" w:hAnsi="Cambria" w:cs="Times New Roman"/>
          <w:sz w:val="24"/>
          <w:szCs w:val="24"/>
        </w:rPr>
        <w:t>a financial crisis in which investors would become increasing</w:t>
      </w:r>
      <w:r w:rsidR="00E628BD">
        <w:rPr>
          <w:rFonts w:ascii="Cambria" w:hAnsi="Cambria" w:cs="Times New Roman"/>
          <w:sz w:val="24"/>
          <w:szCs w:val="24"/>
        </w:rPr>
        <w:t>ly</w:t>
      </w:r>
      <w:r w:rsidR="002B3E4D" w:rsidRPr="005F4F79">
        <w:rPr>
          <w:rFonts w:ascii="Cambria" w:hAnsi="Cambria" w:cs="Times New Roman"/>
          <w:sz w:val="24"/>
          <w:szCs w:val="24"/>
        </w:rPr>
        <w:t xml:space="preserve"> unwilling to finance government borrowing.  </w:t>
      </w:r>
      <w:r w:rsidR="00D12B1F" w:rsidRPr="005F4F79">
        <w:rPr>
          <w:rFonts w:ascii="Cambria" w:hAnsi="Cambria" w:cs="Times New Roman"/>
          <w:sz w:val="24"/>
          <w:szCs w:val="24"/>
        </w:rPr>
        <w:t>High and rising debt also take</w:t>
      </w:r>
      <w:r w:rsidR="006D0D14" w:rsidRPr="005F4F79">
        <w:rPr>
          <w:rFonts w:ascii="Cambria" w:hAnsi="Cambria" w:cs="Times New Roman"/>
          <w:sz w:val="24"/>
          <w:szCs w:val="24"/>
        </w:rPr>
        <w:t>s</w:t>
      </w:r>
      <w:r w:rsidR="00D12B1F" w:rsidRPr="005F4F79">
        <w:rPr>
          <w:rFonts w:ascii="Cambria" w:hAnsi="Cambria" w:cs="Times New Roman"/>
          <w:sz w:val="24"/>
          <w:szCs w:val="24"/>
        </w:rPr>
        <w:t xml:space="preserve"> a bite out of worker paychecks.  As </w:t>
      </w:r>
      <w:r w:rsidR="002B3E4D" w:rsidRPr="005F4F79">
        <w:rPr>
          <w:rFonts w:ascii="Cambria" w:hAnsi="Cambria" w:cs="Times New Roman"/>
          <w:sz w:val="24"/>
          <w:szCs w:val="24"/>
        </w:rPr>
        <w:t>CBO explains</w:t>
      </w:r>
      <w:r w:rsidR="00D12B1F" w:rsidRPr="005F4F79">
        <w:rPr>
          <w:rFonts w:ascii="Cambria" w:hAnsi="Cambria" w:cs="Times New Roman"/>
          <w:sz w:val="24"/>
          <w:szCs w:val="24"/>
        </w:rPr>
        <w:t xml:space="preserve">, “Because federal borrowing reduces total saving in the economy, the nation’s capital stock would ultimately be smaller, and productivity and </w:t>
      </w:r>
      <w:r w:rsidR="00D12B1F" w:rsidRPr="005F4F79">
        <w:rPr>
          <w:rFonts w:ascii="Cambria" w:hAnsi="Cambria" w:cs="Times New Roman"/>
          <w:i/>
          <w:sz w:val="24"/>
          <w:szCs w:val="24"/>
        </w:rPr>
        <w:t>total wages would be lower</w:t>
      </w:r>
      <w:r w:rsidR="00D12B1F" w:rsidRPr="005F4F79">
        <w:rPr>
          <w:rFonts w:ascii="Cambria" w:hAnsi="Cambria" w:cs="Times New Roman"/>
          <w:sz w:val="24"/>
          <w:szCs w:val="24"/>
        </w:rPr>
        <w:t>.</w:t>
      </w:r>
      <w:r w:rsidR="0029626E" w:rsidRPr="005F4F79">
        <w:rPr>
          <w:rFonts w:ascii="Cambria" w:hAnsi="Cambria" w:cs="Times New Roman"/>
          <w:sz w:val="24"/>
          <w:szCs w:val="24"/>
        </w:rPr>
        <w:t>”</w:t>
      </w:r>
      <w:r w:rsidR="0029626E" w:rsidRPr="005F4F79">
        <w:rPr>
          <w:rStyle w:val="EndnoteReference"/>
          <w:rFonts w:ascii="Cambria" w:hAnsi="Cambria" w:cs="Times New Roman"/>
          <w:sz w:val="24"/>
          <w:szCs w:val="24"/>
        </w:rPr>
        <w:endnoteReference w:id="9"/>
      </w:r>
      <w:r w:rsidR="00666AF0">
        <w:rPr>
          <w:rFonts w:ascii="Cambria" w:hAnsi="Cambria" w:cs="Times New Roman"/>
          <w:sz w:val="24"/>
          <w:szCs w:val="24"/>
        </w:rPr>
        <w:br/>
      </w:r>
    </w:p>
    <w:p w14:paraId="0440FF16" w14:textId="77777777" w:rsidR="00821D21" w:rsidRDefault="00821D21" w:rsidP="00821D21">
      <w:pPr>
        <w:pStyle w:val="ListParagraph"/>
        <w:rPr>
          <w:rFonts w:ascii="Cambria" w:hAnsi="Cambria" w:cs="Times New Roman"/>
          <w:b/>
          <w:sz w:val="24"/>
          <w:szCs w:val="24"/>
        </w:rPr>
      </w:pPr>
    </w:p>
    <w:p w14:paraId="05ED638E" w14:textId="50BEE110" w:rsidR="00193CB1" w:rsidRPr="005F4F79" w:rsidRDefault="00193CB1" w:rsidP="00193CB1">
      <w:pPr>
        <w:pStyle w:val="ListParagraph"/>
        <w:numPr>
          <w:ilvl w:val="0"/>
          <w:numId w:val="9"/>
        </w:numPr>
        <w:rPr>
          <w:rFonts w:ascii="Cambria" w:hAnsi="Cambria" w:cs="Times New Roman"/>
          <w:b/>
          <w:sz w:val="24"/>
          <w:szCs w:val="24"/>
        </w:rPr>
      </w:pPr>
      <w:r w:rsidRPr="005F4F79">
        <w:rPr>
          <w:rFonts w:ascii="Cambria" w:hAnsi="Cambria" w:cs="Times New Roman"/>
          <w:b/>
          <w:sz w:val="24"/>
          <w:szCs w:val="24"/>
        </w:rPr>
        <w:t>Slower Growth = $4 Trillion Missing from Economy</w:t>
      </w:r>
    </w:p>
    <w:p w14:paraId="7D10E419" w14:textId="45CCFB74" w:rsidR="00193CB1" w:rsidRPr="00784E20" w:rsidRDefault="00D46FFA" w:rsidP="000D4829">
      <w:pPr>
        <w:pStyle w:val="ListParagraph"/>
        <w:rPr>
          <w:rFonts w:ascii="Cambria" w:hAnsi="Cambria" w:cs="Times New Roman"/>
          <w:sz w:val="24"/>
          <w:szCs w:val="24"/>
        </w:rPr>
      </w:pPr>
      <w:r w:rsidRPr="005F4F79">
        <w:rPr>
          <w:rFonts w:ascii="Cambria" w:hAnsi="Cambria" w:cs="Times New Roman"/>
          <w:sz w:val="24"/>
          <w:szCs w:val="24"/>
        </w:rPr>
        <w:t>In January, CBO projected economic growth of 2.5% this year with average growth of 2.1</w:t>
      </w:r>
      <w:r w:rsidR="005259CB">
        <w:rPr>
          <w:rFonts w:ascii="Cambria" w:hAnsi="Cambria" w:cs="Times New Roman"/>
          <w:sz w:val="24"/>
          <w:szCs w:val="24"/>
        </w:rPr>
        <w:t>%</w:t>
      </w:r>
      <w:r w:rsidRPr="005F4F79">
        <w:rPr>
          <w:rFonts w:ascii="Cambria" w:hAnsi="Cambria" w:cs="Times New Roman"/>
          <w:sz w:val="24"/>
          <w:szCs w:val="24"/>
        </w:rPr>
        <w:t xml:space="preserve"> over the decade.  Given the slow growth </w:t>
      </w:r>
      <w:r w:rsidR="00563219" w:rsidRPr="005F4F79">
        <w:rPr>
          <w:rFonts w:ascii="Cambria" w:hAnsi="Cambria" w:cs="Times New Roman"/>
          <w:sz w:val="24"/>
          <w:szCs w:val="24"/>
        </w:rPr>
        <w:t>during the first half o</w:t>
      </w:r>
      <w:r w:rsidRPr="005F4F79">
        <w:rPr>
          <w:rFonts w:ascii="Cambria" w:hAnsi="Cambria" w:cs="Times New Roman"/>
          <w:sz w:val="24"/>
          <w:szCs w:val="24"/>
        </w:rPr>
        <w:t xml:space="preserve">f </w:t>
      </w:r>
      <w:r w:rsidR="00563219" w:rsidRPr="005F4F79">
        <w:rPr>
          <w:rFonts w:ascii="Cambria" w:hAnsi="Cambria" w:cs="Times New Roman"/>
          <w:sz w:val="24"/>
          <w:szCs w:val="24"/>
        </w:rPr>
        <w:t>2016</w:t>
      </w:r>
      <w:r w:rsidRPr="005F4F79">
        <w:rPr>
          <w:rFonts w:ascii="Cambria" w:hAnsi="Cambria" w:cs="Times New Roman"/>
          <w:sz w:val="24"/>
          <w:szCs w:val="24"/>
        </w:rPr>
        <w:t xml:space="preserve"> and other economic conditions, CBO </w:t>
      </w:r>
      <w:r w:rsidR="00F970C5" w:rsidRPr="005F4F79">
        <w:rPr>
          <w:rFonts w:ascii="Cambria" w:hAnsi="Cambria" w:cs="Times New Roman"/>
          <w:sz w:val="24"/>
          <w:szCs w:val="24"/>
        </w:rPr>
        <w:t xml:space="preserve">lowered its </w:t>
      </w:r>
      <w:r w:rsidRPr="005F4F79">
        <w:rPr>
          <w:rFonts w:ascii="Cambria" w:hAnsi="Cambria" w:cs="Times New Roman"/>
          <w:sz w:val="24"/>
          <w:szCs w:val="24"/>
        </w:rPr>
        <w:t xml:space="preserve">projections to </w:t>
      </w:r>
      <w:r w:rsidR="00F970C5" w:rsidRPr="005F4F79">
        <w:rPr>
          <w:rFonts w:ascii="Cambria" w:hAnsi="Cambria" w:cs="Times New Roman"/>
          <w:sz w:val="24"/>
          <w:szCs w:val="24"/>
        </w:rPr>
        <w:t xml:space="preserve">1.9% this year with average growth below 2% </w:t>
      </w:r>
      <w:r w:rsidR="00E8728E">
        <w:rPr>
          <w:rFonts w:ascii="Cambria" w:hAnsi="Cambria" w:cs="Times New Roman"/>
          <w:sz w:val="24"/>
          <w:szCs w:val="24"/>
        </w:rPr>
        <w:t>for the next 10 years</w:t>
      </w:r>
      <w:r w:rsidR="00F970C5" w:rsidRPr="005F4F79">
        <w:rPr>
          <w:rFonts w:ascii="Cambria" w:hAnsi="Cambria" w:cs="Times New Roman"/>
          <w:sz w:val="24"/>
          <w:szCs w:val="24"/>
        </w:rPr>
        <w:t>.  T</w:t>
      </w:r>
      <w:r w:rsidR="0000667B" w:rsidRPr="005F4F79">
        <w:rPr>
          <w:rFonts w:ascii="Cambria" w:hAnsi="Cambria" w:cs="Times New Roman"/>
          <w:sz w:val="24"/>
          <w:szCs w:val="24"/>
        </w:rPr>
        <w:t xml:space="preserve">his new downgrade means that </w:t>
      </w:r>
      <w:r w:rsidR="00847C49" w:rsidRPr="005F4F79">
        <w:rPr>
          <w:rFonts w:ascii="Cambria" w:hAnsi="Cambria" w:cs="Times New Roman"/>
          <w:sz w:val="24"/>
          <w:szCs w:val="24"/>
        </w:rPr>
        <w:t xml:space="preserve">over the decade, </w:t>
      </w:r>
      <w:r w:rsidR="0000667B" w:rsidRPr="005F4F79">
        <w:rPr>
          <w:rFonts w:ascii="Cambria" w:hAnsi="Cambria" w:cs="Times New Roman"/>
          <w:sz w:val="24"/>
          <w:szCs w:val="24"/>
        </w:rPr>
        <w:t xml:space="preserve">a total of </w:t>
      </w:r>
      <w:r w:rsidR="00CD4B8D" w:rsidRPr="005F4F79">
        <w:rPr>
          <w:rFonts w:ascii="Cambria" w:hAnsi="Cambria" w:cs="Times New Roman"/>
          <w:sz w:val="24"/>
          <w:szCs w:val="24"/>
        </w:rPr>
        <w:t xml:space="preserve">over </w:t>
      </w:r>
      <w:r w:rsidR="0000667B" w:rsidRPr="005F4F79">
        <w:rPr>
          <w:rFonts w:ascii="Cambria" w:hAnsi="Cambria" w:cs="Times New Roman"/>
          <w:sz w:val="24"/>
          <w:szCs w:val="24"/>
        </w:rPr>
        <w:t>$4 trillion will be missing f</w:t>
      </w:r>
      <w:r w:rsidRPr="005F4F79">
        <w:rPr>
          <w:rFonts w:ascii="Cambria" w:hAnsi="Cambria" w:cs="Times New Roman"/>
          <w:sz w:val="24"/>
          <w:szCs w:val="24"/>
        </w:rPr>
        <w:t xml:space="preserve">rom the economy </w:t>
      </w:r>
      <w:r w:rsidR="00384C93" w:rsidRPr="005F4F79">
        <w:rPr>
          <w:rFonts w:ascii="Cambria" w:hAnsi="Cambria" w:cs="Times New Roman"/>
          <w:sz w:val="24"/>
          <w:szCs w:val="24"/>
        </w:rPr>
        <w:t>com</w:t>
      </w:r>
      <w:r w:rsidRPr="005F4F79">
        <w:rPr>
          <w:rFonts w:ascii="Cambria" w:hAnsi="Cambria" w:cs="Times New Roman"/>
          <w:sz w:val="24"/>
          <w:szCs w:val="24"/>
        </w:rPr>
        <w:t xml:space="preserve">pared to </w:t>
      </w:r>
      <w:r w:rsidR="00CD4B8D" w:rsidRPr="005F4F79">
        <w:rPr>
          <w:rFonts w:ascii="Cambria" w:hAnsi="Cambria" w:cs="Times New Roman"/>
          <w:sz w:val="24"/>
          <w:szCs w:val="24"/>
        </w:rPr>
        <w:t xml:space="preserve">the </w:t>
      </w:r>
      <w:r w:rsidRPr="005F4F79">
        <w:rPr>
          <w:rFonts w:ascii="Cambria" w:hAnsi="Cambria" w:cs="Times New Roman"/>
          <w:sz w:val="24"/>
          <w:szCs w:val="24"/>
        </w:rPr>
        <w:t xml:space="preserve">January </w:t>
      </w:r>
      <w:r w:rsidR="005F4F79" w:rsidRPr="005F4F79">
        <w:rPr>
          <w:rFonts w:ascii="Cambria" w:hAnsi="Cambria" w:cs="Times New Roman"/>
          <w:sz w:val="24"/>
          <w:szCs w:val="24"/>
        </w:rPr>
        <w:t>estimate</w:t>
      </w:r>
      <w:r w:rsidRPr="005F4F79">
        <w:rPr>
          <w:rFonts w:ascii="Cambria" w:hAnsi="Cambria" w:cs="Times New Roman"/>
          <w:sz w:val="24"/>
          <w:szCs w:val="24"/>
        </w:rPr>
        <w:t>.</w:t>
      </w:r>
      <w:r w:rsidR="00384C93" w:rsidRPr="005F4F79">
        <w:rPr>
          <w:rFonts w:ascii="Cambria" w:hAnsi="Cambria" w:cs="Times New Roman"/>
          <w:sz w:val="24"/>
          <w:szCs w:val="24"/>
        </w:rPr>
        <w:t xml:space="preserve">  </w:t>
      </w:r>
      <w:r w:rsidR="00CD4B8D" w:rsidRPr="005F4F79">
        <w:rPr>
          <w:rFonts w:ascii="Cambria" w:hAnsi="Cambria" w:cs="Times New Roman"/>
          <w:sz w:val="24"/>
          <w:szCs w:val="24"/>
        </w:rPr>
        <w:t>The downgrade also lower</w:t>
      </w:r>
      <w:r w:rsidR="0087636D">
        <w:rPr>
          <w:rFonts w:ascii="Cambria" w:hAnsi="Cambria" w:cs="Times New Roman"/>
          <w:sz w:val="24"/>
          <w:szCs w:val="24"/>
        </w:rPr>
        <w:t>ed</w:t>
      </w:r>
      <w:r w:rsidR="00876CC4">
        <w:rPr>
          <w:rFonts w:ascii="Cambria" w:hAnsi="Cambria" w:cs="Times New Roman"/>
          <w:sz w:val="24"/>
          <w:szCs w:val="24"/>
        </w:rPr>
        <w:t xml:space="preserve"> revenue projections by $428</w:t>
      </w:r>
      <w:r w:rsidR="00CD4B8D" w:rsidRPr="005F4F79">
        <w:rPr>
          <w:rFonts w:ascii="Cambria" w:hAnsi="Cambria" w:cs="Times New Roman"/>
          <w:sz w:val="24"/>
          <w:szCs w:val="24"/>
        </w:rPr>
        <w:t xml:space="preserve"> billion over the decade.</w:t>
      </w:r>
      <w:r w:rsidR="00563219" w:rsidRPr="005F4F79">
        <w:rPr>
          <w:rStyle w:val="EndnoteReference"/>
          <w:rFonts w:ascii="Cambria" w:hAnsi="Cambria" w:cs="Times New Roman"/>
          <w:sz w:val="24"/>
          <w:szCs w:val="24"/>
        </w:rPr>
        <w:endnoteReference w:id="10"/>
      </w:r>
      <w:r w:rsidR="00666AF0">
        <w:rPr>
          <w:rFonts w:ascii="Cambria" w:hAnsi="Cambria" w:cs="Times New Roman"/>
          <w:sz w:val="24"/>
          <w:szCs w:val="24"/>
        </w:rPr>
        <w:br/>
      </w:r>
    </w:p>
    <w:p w14:paraId="5F4C9BB9" w14:textId="63D76668" w:rsidR="005F4F79" w:rsidRPr="005F4F79" w:rsidRDefault="005F4F79" w:rsidP="005F4F79">
      <w:pPr>
        <w:pStyle w:val="ListParagraph"/>
        <w:numPr>
          <w:ilvl w:val="0"/>
          <w:numId w:val="9"/>
        </w:numPr>
        <w:rPr>
          <w:rFonts w:ascii="Cambria" w:hAnsi="Cambria" w:cs="Times New Roman"/>
          <w:b/>
          <w:sz w:val="24"/>
          <w:szCs w:val="24"/>
        </w:rPr>
      </w:pPr>
      <w:r w:rsidRPr="005F4F79">
        <w:rPr>
          <w:rFonts w:ascii="Cambria" w:hAnsi="Cambria" w:cs="Times New Roman"/>
          <w:b/>
          <w:sz w:val="24"/>
          <w:szCs w:val="24"/>
        </w:rPr>
        <w:t>Obamacare + Tax Code = Fewer Americans Working</w:t>
      </w:r>
    </w:p>
    <w:p w14:paraId="18FF03EB" w14:textId="58904139" w:rsidR="005F4F79" w:rsidRPr="00784E20" w:rsidRDefault="005F4F79" w:rsidP="000C499F">
      <w:pPr>
        <w:pStyle w:val="ListParagraph"/>
        <w:rPr>
          <w:rFonts w:ascii="Cambria" w:hAnsi="Cambria" w:cs="Times New Roman"/>
          <w:sz w:val="24"/>
          <w:szCs w:val="24"/>
        </w:rPr>
      </w:pPr>
      <w:r w:rsidRPr="005F4F79">
        <w:rPr>
          <w:rFonts w:ascii="Cambria" w:hAnsi="Cambria" w:cs="Times New Roman"/>
          <w:sz w:val="24"/>
          <w:szCs w:val="24"/>
        </w:rPr>
        <w:t>CBO notes that federal policies have contributed to America’s shrinking workforce by discouraging Americans from working or seeking work.</w:t>
      </w:r>
      <w:r w:rsidRPr="005F4F79">
        <w:rPr>
          <w:rStyle w:val="EndnoteReference"/>
          <w:rFonts w:ascii="Cambria" w:hAnsi="Cambria" w:cs="Times New Roman"/>
          <w:sz w:val="24"/>
          <w:szCs w:val="24"/>
        </w:rPr>
        <w:endnoteReference w:id="11"/>
      </w:r>
      <w:r w:rsidRPr="005F4F79">
        <w:rPr>
          <w:rFonts w:ascii="Cambria" w:hAnsi="Cambria" w:cs="Times New Roman"/>
          <w:sz w:val="24"/>
          <w:szCs w:val="24"/>
        </w:rPr>
        <w:t xml:space="preserve">   A larger paycheck pushes people into paying higher tax rates.  Earning more also causes them to lose </w:t>
      </w:r>
      <w:r w:rsidR="005259CB">
        <w:rPr>
          <w:rFonts w:ascii="Cambria" w:hAnsi="Cambria" w:cs="Times New Roman"/>
          <w:sz w:val="24"/>
          <w:szCs w:val="24"/>
        </w:rPr>
        <w:t xml:space="preserve">insurance </w:t>
      </w:r>
      <w:r w:rsidRPr="005F4F79">
        <w:rPr>
          <w:rFonts w:ascii="Cambria" w:hAnsi="Cambria" w:cs="Times New Roman"/>
          <w:sz w:val="24"/>
          <w:szCs w:val="24"/>
        </w:rPr>
        <w:t>subsidies that help them pay for rising Obamacare premiums.</w:t>
      </w:r>
      <w:r w:rsidRPr="005F4F79">
        <w:rPr>
          <w:rStyle w:val="EndnoteReference"/>
          <w:rFonts w:ascii="Cambria" w:hAnsi="Cambria" w:cs="Times New Roman"/>
          <w:sz w:val="24"/>
          <w:szCs w:val="24"/>
        </w:rPr>
        <w:endnoteReference w:id="12"/>
      </w:r>
      <w:r w:rsidR="00D46875">
        <w:rPr>
          <w:rFonts w:ascii="Cambria" w:hAnsi="Cambria" w:cs="Times New Roman"/>
          <w:sz w:val="24"/>
          <w:szCs w:val="24"/>
        </w:rPr>
        <w:t xml:space="preserve">  </w:t>
      </w:r>
      <w:r w:rsidR="00E8728E">
        <w:rPr>
          <w:rFonts w:ascii="Cambria" w:hAnsi="Cambria" w:cs="Times New Roman"/>
          <w:sz w:val="24"/>
          <w:szCs w:val="24"/>
        </w:rPr>
        <w:t xml:space="preserve">Together, the </w:t>
      </w:r>
      <w:r w:rsidR="000F4030">
        <w:rPr>
          <w:rFonts w:ascii="Cambria" w:hAnsi="Cambria" w:cs="Times New Roman"/>
          <w:sz w:val="24"/>
          <w:szCs w:val="24"/>
        </w:rPr>
        <w:t xml:space="preserve">outdated </w:t>
      </w:r>
      <w:r w:rsidR="00E8728E">
        <w:rPr>
          <w:rFonts w:ascii="Cambria" w:hAnsi="Cambria" w:cs="Times New Roman"/>
          <w:sz w:val="24"/>
          <w:szCs w:val="24"/>
        </w:rPr>
        <w:t xml:space="preserve">tax code and Obamacare are deterring Americans from reaching their full </w:t>
      </w:r>
      <w:r w:rsidR="003C1AD0">
        <w:rPr>
          <w:rFonts w:ascii="Cambria" w:hAnsi="Cambria" w:cs="Times New Roman"/>
          <w:sz w:val="24"/>
          <w:szCs w:val="24"/>
        </w:rPr>
        <w:t xml:space="preserve">earning </w:t>
      </w:r>
      <w:r w:rsidR="00E8728E">
        <w:rPr>
          <w:rFonts w:ascii="Cambria" w:hAnsi="Cambria" w:cs="Times New Roman"/>
          <w:sz w:val="24"/>
          <w:szCs w:val="24"/>
        </w:rPr>
        <w:t xml:space="preserve">potential. </w:t>
      </w:r>
      <w:r w:rsidR="00666AF0">
        <w:rPr>
          <w:rFonts w:ascii="Cambria" w:hAnsi="Cambria" w:cs="Times New Roman"/>
          <w:sz w:val="24"/>
          <w:szCs w:val="24"/>
        </w:rPr>
        <w:br/>
      </w:r>
    </w:p>
    <w:sectPr w:rsidR="005F4F79" w:rsidRPr="00784E20" w:rsidSect="00AA182D"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634" w:right="720" w:bottom="288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FCC7B" w14:textId="77777777" w:rsidR="00CD26E2" w:rsidRDefault="00CD26E2" w:rsidP="006350FF">
      <w:pPr>
        <w:spacing w:after="0" w:line="240" w:lineRule="auto"/>
      </w:pPr>
      <w:r>
        <w:separator/>
      </w:r>
    </w:p>
  </w:endnote>
  <w:endnote w:type="continuationSeparator" w:id="0">
    <w:p w14:paraId="7321B6BA" w14:textId="77777777" w:rsidR="00CD26E2" w:rsidRDefault="00CD26E2" w:rsidP="006350FF">
      <w:pPr>
        <w:spacing w:after="0" w:line="240" w:lineRule="auto"/>
      </w:pPr>
      <w:r>
        <w:continuationSeparator/>
      </w:r>
    </w:p>
  </w:endnote>
  <w:endnote w:type="continuationNotice" w:id="1">
    <w:p w14:paraId="6F40B758" w14:textId="77777777" w:rsidR="00CD26E2" w:rsidRDefault="00CD26E2">
      <w:pPr>
        <w:spacing w:after="0" w:line="240" w:lineRule="auto"/>
      </w:pPr>
    </w:p>
  </w:endnote>
  <w:endnote w:id="2">
    <w:p w14:paraId="626A716B" w14:textId="6131EE18" w:rsidR="001C0DE4" w:rsidRDefault="001C0DE4" w:rsidP="001C0DE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72165">
        <w:t>“An Update to the Budget and Economic Outlook: 2016 to 2016,” Congressional Budget Office, August 2016</w:t>
      </w:r>
      <w:r w:rsidR="000977DD">
        <w:t>,</w:t>
      </w:r>
      <w:r w:rsidR="000977DD" w:rsidRPr="000977DD">
        <w:t xml:space="preserve"> </w:t>
      </w:r>
      <w:r w:rsidR="000977DD">
        <w:t>Page 11</w:t>
      </w:r>
      <w:r w:rsidR="00272165">
        <w:t>.</w:t>
      </w:r>
      <w:r>
        <w:t xml:space="preserve"> </w:t>
      </w:r>
      <w:hyperlink r:id="rId1" w:history="1">
        <w:r w:rsidRPr="001A7497">
          <w:rPr>
            <w:rStyle w:val="Hyperlink"/>
          </w:rPr>
          <w:t>https://www.cbo.gov/sites/default/files/114th-congress-2015-2016/reports/51908-2016_Outlook_Update-2.pdf</w:t>
        </w:r>
      </w:hyperlink>
    </w:p>
  </w:endnote>
  <w:endnote w:id="3">
    <w:p w14:paraId="4F1CEC34" w14:textId="1507BE74" w:rsidR="001C0DE4" w:rsidRDefault="001C0DE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72165">
        <w:t>CBO</w:t>
      </w:r>
      <w:r w:rsidR="005A0946">
        <w:t>,</w:t>
      </w:r>
      <w:r w:rsidR="00272165">
        <w:t xml:space="preserve"> </w:t>
      </w:r>
      <w:r w:rsidR="000977DD">
        <w:t xml:space="preserve">P. </w:t>
      </w:r>
      <w:r w:rsidR="00272165">
        <w:t>27</w:t>
      </w:r>
      <w:r w:rsidR="000977DD">
        <w:t>.</w:t>
      </w:r>
    </w:p>
  </w:endnote>
  <w:endnote w:id="4">
    <w:p w14:paraId="18850B0B" w14:textId="652216E5" w:rsidR="001C0DE4" w:rsidRDefault="001C0DE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72165">
        <w:t>CBO</w:t>
      </w:r>
      <w:r w:rsidR="005A0946">
        <w:t>,</w:t>
      </w:r>
      <w:r w:rsidR="00272165">
        <w:t xml:space="preserve"> </w:t>
      </w:r>
      <w:r w:rsidR="000977DD">
        <w:t xml:space="preserve">P. </w:t>
      </w:r>
      <w:r w:rsidR="00272165">
        <w:t>20</w:t>
      </w:r>
      <w:r w:rsidR="000977DD">
        <w:t>.</w:t>
      </w:r>
    </w:p>
  </w:endnote>
  <w:endnote w:id="5">
    <w:p w14:paraId="1B6E98BB" w14:textId="67D53637" w:rsidR="008644A6" w:rsidRDefault="008644A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72165">
        <w:t>CBO</w:t>
      </w:r>
      <w:r w:rsidR="005A0946">
        <w:t>,</w:t>
      </w:r>
      <w:r w:rsidR="00272165">
        <w:t xml:space="preserve"> </w:t>
      </w:r>
      <w:r w:rsidR="000977DD">
        <w:t xml:space="preserve">P. </w:t>
      </w:r>
      <w:r w:rsidR="00272165">
        <w:t>12</w:t>
      </w:r>
      <w:r w:rsidR="000977DD">
        <w:t>.</w:t>
      </w:r>
    </w:p>
  </w:endnote>
  <w:endnote w:id="6">
    <w:p w14:paraId="0D841FCE" w14:textId="798DD2D0" w:rsidR="008644A6" w:rsidRDefault="008644A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72165">
        <w:t>CBO</w:t>
      </w:r>
      <w:r w:rsidR="005A0946">
        <w:t>,</w:t>
      </w:r>
      <w:r w:rsidR="00272165">
        <w:t xml:space="preserve"> </w:t>
      </w:r>
      <w:r w:rsidR="000977DD">
        <w:t xml:space="preserve">P. </w:t>
      </w:r>
      <w:r w:rsidR="00272165">
        <w:t>24</w:t>
      </w:r>
      <w:r w:rsidR="000977DD">
        <w:t>.</w:t>
      </w:r>
    </w:p>
  </w:endnote>
  <w:endnote w:id="7">
    <w:p w14:paraId="3DCAED98" w14:textId="5387FA51" w:rsidR="001C0DE4" w:rsidRDefault="001C0DE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5A0946">
        <w:t xml:space="preserve">“The Debt to the Penny and Who Holds It,” TreasuryDirect, United States Department of the Treasury. </w:t>
      </w:r>
      <w:hyperlink r:id="rId2" w:history="1">
        <w:r w:rsidRPr="002611CD">
          <w:rPr>
            <w:rStyle w:val="Hyperlink"/>
          </w:rPr>
          <w:t>http://www.treasurydirect.gov/NP/debt/current</w:t>
        </w:r>
      </w:hyperlink>
    </w:p>
  </w:endnote>
  <w:endnote w:id="8">
    <w:p w14:paraId="26C7C23F" w14:textId="271CC03D" w:rsidR="006478D2" w:rsidRDefault="006478D2">
      <w:pPr>
        <w:pStyle w:val="EndnoteText"/>
      </w:pPr>
      <w:r>
        <w:rPr>
          <w:rStyle w:val="EndnoteReference"/>
        </w:rPr>
        <w:endnoteRef/>
      </w:r>
      <w:r w:rsidR="00876CC4">
        <w:t xml:space="preserve"> </w:t>
      </w:r>
      <w:r w:rsidR="000977DD">
        <w:t>CBO, P. 3.</w:t>
      </w:r>
    </w:p>
  </w:endnote>
  <w:endnote w:id="9">
    <w:p w14:paraId="617B20F2" w14:textId="176C8A8C" w:rsidR="0029626E" w:rsidRDefault="0029626E">
      <w:pPr>
        <w:pStyle w:val="EndnoteText"/>
      </w:pPr>
      <w:r>
        <w:rPr>
          <w:rStyle w:val="EndnoteReference"/>
        </w:rPr>
        <w:endnoteRef/>
      </w:r>
      <w:r w:rsidR="00876CC4">
        <w:t xml:space="preserve"> </w:t>
      </w:r>
      <w:r w:rsidR="003215E8">
        <w:t>CBO, P. 3</w:t>
      </w:r>
      <w:r w:rsidR="000977DD">
        <w:t>.</w:t>
      </w:r>
    </w:p>
  </w:endnote>
  <w:endnote w:id="10">
    <w:p w14:paraId="50C9A5F4" w14:textId="50DD78E9" w:rsidR="00563219" w:rsidRDefault="00563219">
      <w:pPr>
        <w:pStyle w:val="EndnoteText"/>
      </w:pPr>
      <w:r>
        <w:rPr>
          <w:rStyle w:val="EndnoteReference"/>
        </w:rPr>
        <w:endnoteRef/>
      </w:r>
      <w:r w:rsidR="00876CC4">
        <w:t xml:space="preserve"> </w:t>
      </w:r>
      <w:r w:rsidR="00272165">
        <w:t>CBO</w:t>
      </w:r>
      <w:r w:rsidR="005A0946">
        <w:t>,</w:t>
      </w:r>
      <w:r w:rsidR="00272165">
        <w:t xml:space="preserve"> </w:t>
      </w:r>
      <w:r w:rsidR="000977DD">
        <w:t xml:space="preserve">P. </w:t>
      </w:r>
      <w:r w:rsidR="00272165">
        <w:t>31</w:t>
      </w:r>
      <w:r w:rsidR="000977DD">
        <w:t>.</w:t>
      </w:r>
    </w:p>
  </w:endnote>
  <w:endnote w:id="11">
    <w:p w14:paraId="0A45FD94" w14:textId="5B746C84" w:rsidR="005F4F79" w:rsidRDefault="005F4F79" w:rsidP="005F4F7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72165">
        <w:t>CBO</w:t>
      </w:r>
      <w:r w:rsidR="005A0946">
        <w:t>,</w:t>
      </w:r>
      <w:r w:rsidR="00272165">
        <w:t xml:space="preserve"> </w:t>
      </w:r>
      <w:r w:rsidR="000977DD">
        <w:t xml:space="preserve">P. </w:t>
      </w:r>
      <w:r w:rsidR="00272165">
        <w:t>6</w:t>
      </w:r>
      <w:r w:rsidR="000977DD">
        <w:t>.</w:t>
      </w:r>
    </w:p>
  </w:endnote>
  <w:endnote w:id="12">
    <w:p w14:paraId="3A1DDAE0" w14:textId="1C73F70C" w:rsidR="005F4F79" w:rsidRDefault="005F4F79" w:rsidP="005F4F7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72165">
        <w:t>CBO</w:t>
      </w:r>
      <w:r w:rsidR="005A0946">
        <w:t>,</w:t>
      </w:r>
      <w:r w:rsidR="00272165">
        <w:t xml:space="preserve"> </w:t>
      </w:r>
      <w:r w:rsidR="000977DD">
        <w:t xml:space="preserve">P. </w:t>
      </w:r>
      <w:r w:rsidR="00272165">
        <w:t>48</w:t>
      </w:r>
      <w:r w:rsidR="000977DD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541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422F5" w14:textId="4C3C9075" w:rsidR="008B6373" w:rsidRDefault="008B63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A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92B19A" w14:textId="77777777" w:rsidR="008B6373" w:rsidRDefault="008B63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7352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066CC" w14:textId="64CC3E66" w:rsidR="008B6373" w:rsidRDefault="008B63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A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6C1C24" w14:textId="77777777" w:rsidR="008B6373" w:rsidRDefault="008B63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33C8E" w14:textId="77777777" w:rsidR="00CD26E2" w:rsidRDefault="00CD26E2" w:rsidP="006350FF">
      <w:pPr>
        <w:spacing w:after="0" w:line="240" w:lineRule="auto"/>
      </w:pPr>
      <w:r>
        <w:separator/>
      </w:r>
    </w:p>
  </w:footnote>
  <w:footnote w:type="continuationSeparator" w:id="0">
    <w:p w14:paraId="432C13C8" w14:textId="77777777" w:rsidR="00CD26E2" w:rsidRDefault="00CD26E2" w:rsidP="006350FF">
      <w:pPr>
        <w:spacing w:after="0" w:line="240" w:lineRule="auto"/>
      </w:pPr>
      <w:r>
        <w:continuationSeparator/>
      </w:r>
    </w:p>
  </w:footnote>
  <w:footnote w:type="continuationNotice" w:id="1">
    <w:p w14:paraId="6968B2BD" w14:textId="77777777" w:rsidR="00CD26E2" w:rsidRDefault="00CD26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CC6AD" w14:textId="33741FAA" w:rsidR="00AD14F5" w:rsidRDefault="00AD14F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22CC4F" wp14:editId="63EE4C23">
          <wp:simplePos x="0" y="0"/>
          <wp:positionH relativeFrom="margin">
            <wp:align>right</wp:align>
          </wp:positionH>
          <wp:positionV relativeFrom="paragraph">
            <wp:posOffset>-47625</wp:posOffset>
          </wp:positionV>
          <wp:extent cx="6858000" cy="1470572"/>
          <wp:effectExtent l="0" t="0" r="0" b="0"/>
          <wp:wrapSquare wrapText="bothSides"/>
          <wp:docPr id="9" name="Picture 9" descr="cid:image001.jpg@01D19022.6B778D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id:image001.jpg@01D19022.6B778D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470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315B8"/>
    <w:multiLevelType w:val="hybridMultilevel"/>
    <w:tmpl w:val="427E6CB0"/>
    <w:lvl w:ilvl="0" w:tplc="3E00E6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C2EE0"/>
    <w:multiLevelType w:val="hybridMultilevel"/>
    <w:tmpl w:val="DCF42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10087"/>
    <w:multiLevelType w:val="hybridMultilevel"/>
    <w:tmpl w:val="EAA0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7192B"/>
    <w:multiLevelType w:val="hybridMultilevel"/>
    <w:tmpl w:val="9DF6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92FBC"/>
    <w:multiLevelType w:val="hybridMultilevel"/>
    <w:tmpl w:val="A79A6AEE"/>
    <w:lvl w:ilvl="0" w:tplc="8D00B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F3E19"/>
    <w:multiLevelType w:val="hybridMultilevel"/>
    <w:tmpl w:val="4CC4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97E68"/>
    <w:multiLevelType w:val="hybridMultilevel"/>
    <w:tmpl w:val="A79A6AEE"/>
    <w:lvl w:ilvl="0" w:tplc="8D00B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D113F"/>
    <w:multiLevelType w:val="hybridMultilevel"/>
    <w:tmpl w:val="485E9C66"/>
    <w:lvl w:ilvl="0" w:tplc="78107B7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73D3E"/>
    <w:multiLevelType w:val="hybridMultilevel"/>
    <w:tmpl w:val="7AA47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F9"/>
    <w:rsid w:val="00000429"/>
    <w:rsid w:val="00006673"/>
    <w:rsid w:val="0000667B"/>
    <w:rsid w:val="00010DE5"/>
    <w:rsid w:val="000203AF"/>
    <w:rsid w:val="00032FBE"/>
    <w:rsid w:val="00035872"/>
    <w:rsid w:val="0003599C"/>
    <w:rsid w:val="000408EB"/>
    <w:rsid w:val="00041453"/>
    <w:rsid w:val="000415D8"/>
    <w:rsid w:val="00041CBF"/>
    <w:rsid w:val="000428E2"/>
    <w:rsid w:val="00047784"/>
    <w:rsid w:val="000525A6"/>
    <w:rsid w:val="00052CEE"/>
    <w:rsid w:val="000570B7"/>
    <w:rsid w:val="000579AD"/>
    <w:rsid w:val="000665F8"/>
    <w:rsid w:val="00077A06"/>
    <w:rsid w:val="00082A8B"/>
    <w:rsid w:val="00094583"/>
    <w:rsid w:val="000948A6"/>
    <w:rsid w:val="00097000"/>
    <w:rsid w:val="000977DD"/>
    <w:rsid w:val="000B3FFC"/>
    <w:rsid w:val="000C499F"/>
    <w:rsid w:val="000D1A1F"/>
    <w:rsid w:val="000D24F2"/>
    <w:rsid w:val="000D28EC"/>
    <w:rsid w:val="000D4829"/>
    <w:rsid w:val="000E56C1"/>
    <w:rsid w:val="000F13AB"/>
    <w:rsid w:val="000F148B"/>
    <w:rsid w:val="000F20A3"/>
    <w:rsid w:val="000F4030"/>
    <w:rsid w:val="00100DDC"/>
    <w:rsid w:val="00101378"/>
    <w:rsid w:val="00104A2E"/>
    <w:rsid w:val="0010544C"/>
    <w:rsid w:val="0011296F"/>
    <w:rsid w:val="00124D03"/>
    <w:rsid w:val="00124F4A"/>
    <w:rsid w:val="00126F3F"/>
    <w:rsid w:val="00136BEB"/>
    <w:rsid w:val="00146003"/>
    <w:rsid w:val="00152772"/>
    <w:rsid w:val="00153350"/>
    <w:rsid w:val="00162EAA"/>
    <w:rsid w:val="00174183"/>
    <w:rsid w:val="00180462"/>
    <w:rsid w:val="00193ABD"/>
    <w:rsid w:val="00193CB1"/>
    <w:rsid w:val="001A41F7"/>
    <w:rsid w:val="001A57A0"/>
    <w:rsid w:val="001A5FC3"/>
    <w:rsid w:val="001B0D96"/>
    <w:rsid w:val="001C0DE4"/>
    <w:rsid w:val="001D467B"/>
    <w:rsid w:val="001E2969"/>
    <w:rsid w:val="001E3995"/>
    <w:rsid w:val="001E4C69"/>
    <w:rsid w:val="001E782B"/>
    <w:rsid w:val="001F23EE"/>
    <w:rsid w:val="00207254"/>
    <w:rsid w:val="0021093A"/>
    <w:rsid w:val="002122C4"/>
    <w:rsid w:val="002141F1"/>
    <w:rsid w:val="002167FE"/>
    <w:rsid w:val="00217B37"/>
    <w:rsid w:val="002234A5"/>
    <w:rsid w:val="00227420"/>
    <w:rsid w:val="0023599E"/>
    <w:rsid w:val="002475AC"/>
    <w:rsid w:val="00256CDC"/>
    <w:rsid w:val="00257F72"/>
    <w:rsid w:val="00260AE1"/>
    <w:rsid w:val="00262387"/>
    <w:rsid w:val="00262561"/>
    <w:rsid w:val="00263C70"/>
    <w:rsid w:val="00265F9D"/>
    <w:rsid w:val="002704C5"/>
    <w:rsid w:val="00270828"/>
    <w:rsid w:val="00271929"/>
    <w:rsid w:val="00272165"/>
    <w:rsid w:val="00280A3F"/>
    <w:rsid w:val="002879FF"/>
    <w:rsid w:val="0029626E"/>
    <w:rsid w:val="002A1675"/>
    <w:rsid w:val="002A246F"/>
    <w:rsid w:val="002B3E4D"/>
    <w:rsid w:val="002B749E"/>
    <w:rsid w:val="002D3A00"/>
    <w:rsid w:val="002D735E"/>
    <w:rsid w:val="002E0266"/>
    <w:rsid w:val="002E4C93"/>
    <w:rsid w:val="002F0EC2"/>
    <w:rsid w:val="002F3F99"/>
    <w:rsid w:val="003031F8"/>
    <w:rsid w:val="0030531D"/>
    <w:rsid w:val="003057DB"/>
    <w:rsid w:val="00305B97"/>
    <w:rsid w:val="00310CA2"/>
    <w:rsid w:val="00317329"/>
    <w:rsid w:val="003215E8"/>
    <w:rsid w:val="00321BED"/>
    <w:rsid w:val="00322046"/>
    <w:rsid w:val="003254B0"/>
    <w:rsid w:val="00326906"/>
    <w:rsid w:val="0033102F"/>
    <w:rsid w:val="0033278C"/>
    <w:rsid w:val="00335602"/>
    <w:rsid w:val="00336BD1"/>
    <w:rsid w:val="003402AB"/>
    <w:rsid w:val="00346C41"/>
    <w:rsid w:val="003575D7"/>
    <w:rsid w:val="003643A6"/>
    <w:rsid w:val="003810FA"/>
    <w:rsid w:val="00384C93"/>
    <w:rsid w:val="003878A6"/>
    <w:rsid w:val="00394EFA"/>
    <w:rsid w:val="0039522B"/>
    <w:rsid w:val="003B3A99"/>
    <w:rsid w:val="003C1AD0"/>
    <w:rsid w:val="003D1E0A"/>
    <w:rsid w:val="003D20AF"/>
    <w:rsid w:val="003D5296"/>
    <w:rsid w:val="003E634B"/>
    <w:rsid w:val="003F0942"/>
    <w:rsid w:val="003F4EA3"/>
    <w:rsid w:val="003F63CF"/>
    <w:rsid w:val="0041716F"/>
    <w:rsid w:val="00417D7D"/>
    <w:rsid w:val="004271D5"/>
    <w:rsid w:val="00433108"/>
    <w:rsid w:val="00434B38"/>
    <w:rsid w:val="004358E6"/>
    <w:rsid w:val="004359C9"/>
    <w:rsid w:val="0044134D"/>
    <w:rsid w:val="00441820"/>
    <w:rsid w:val="00445217"/>
    <w:rsid w:val="004458F9"/>
    <w:rsid w:val="00451594"/>
    <w:rsid w:val="00452025"/>
    <w:rsid w:val="00452A19"/>
    <w:rsid w:val="0045753D"/>
    <w:rsid w:val="0046393F"/>
    <w:rsid w:val="00476621"/>
    <w:rsid w:val="00482F26"/>
    <w:rsid w:val="00496426"/>
    <w:rsid w:val="00497E39"/>
    <w:rsid w:val="004B044B"/>
    <w:rsid w:val="004B0E2A"/>
    <w:rsid w:val="004B46DC"/>
    <w:rsid w:val="004B52C5"/>
    <w:rsid w:val="004B7033"/>
    <w:rsid w:val="004C07CF"/>
    <w:rsid w:val="004C7ECE"/>
    <w:rsid w:val="004D6B9E"/>
    <w:rsid w:val="004E2FB9"/>
    <w:rsid w:val="004F358B"/>
    <w:rsid w:val="004F38DB"/>
    <w:rsid w:val="004F5B37"/>
    <w:rsid w:val="004F64F4"/>
    <w:rsid w:val="00505343"/>
    <w:rsid w:val="00506DB3"/>
    <w:rsid w:val="005074FB"/>
    <w:rsid w:val="00512E25"/>
    <w:rsid w:val="00517607"/>
    <w:rsid w:val="005259CB"/>
    <w:rsid w:val="00533094"/>
    <w:rsid w:val="005429A4"/>
    <w:rsid w:val="00542F28"/>
    <w:rsid w:val="00563219"/>
    <w:rsid w:val="00572F56"/>
    <w:rsid w:val="005832D3"/>
    <w:rsid w:val="00583ED4"/>
    <w:rsid w:val="005943C1"/>
    <w:rsid w:val="005966CC"/>
    <w:rsid w:val="00597E97"/>
    <w:rsid w:val="005A0946"/>
    <w:rsid w:val="005B18B8"/>
    <w:rsid w:val="005B51A2"/>
    <w:rsid w:val="005B7DDD"/>
    <w:rsid w:val="005C0A1C"/>
    <w:rsid w:val="005C65B3"/>
    <w:rsid w:val="005D00AD"/>
    <w:rsid w:val="005D22B4"/>
    <w:rsid w:val="005D55DA"/>
    <w:rsid w:val="005E0CFA"/>
    <w:rsid w:val="005E5C99"/>
    <w:rsid w:val="005E7E2A"/>
    <w:rsid w:val="005F4F79"/>
    <w:rsid w:val="00606C5B"/>
    <w:rsid w:val="0060704B"/>
    <w:rsid w:val="006073AB"/>
    <w:rsid w:val="006130FB"/>
    <w:rsid w:val="00614B5D"/>
    <w:rsid w:val="006263F9"/>
    <w:rsid w:val="0062695D"/>
    <w:rsid w:val="006310C7"/>
    <w:rsid w:val="006350FF"/>
    <w:rsid w:val="00637C58"/>
    <w:rsid w:val="006478D2"/>
    <w:rsid w:val="00652144"/>
    <w:rsid w:val="00663A7D"/>
    <w:rsid w:val="00666AF0"/>
    <w:rsid w:val="00675412"/>
    <w:rsid w:val="00676428"/>
    <w:rsid w:val="00687152"/>
    <w:rsid w:val="006B2805"/>
    <w:rsid w:val="006D0D14"/>
    <w:rsid w:val="006E3343"/>
    <w:rsid w:val="006F639D"/>
    <w:rsid w:val="007071FB"/>
    <w:rsid w:val="0071460A"/>
    <w:rsid w:val="0071482C"/>
    <w:rsid w:val="00717DD3"/>
    <w:rsid w:val="00722C6F"/>
    <w:rsid w:val="00722C85"/>
    <w:rsid w:val="00727F6F"/>
    <w:rsid w:val="00735319"/>
    <w:rsid w:val="00751651"/>
    <w:rsid w:val="00753818"/>
    <w:rsid w:val="00762957"/>
    <w:rsid w:val="00764171"/>
    <w:rsid w:val="00764F62"/>
    <w:rsid w:val="00765FC3"/>
    <w:rsid w:val="00776227"/>
    <w:rsid w:val="00784675"/>
    <w:rsid w:val="00784E20"/>
    <w:rsid w:val="007854C8"/>
    <w:rsid w:val="007862B3"/>
    <w:rsid w:val="007A737B"/>
    <w:rsid w:val="007B23DD"/>
    <w:rsid w:val="007C61B9"/>
    <w:rsid w:val="007E7C0A"/>
    <w:rsid w:val="007F1797"/>
    <w:rsid w:val="007F78C4"/>
    <w:rsid w:val="00800781"/>
    <w:rsid w:val="008109CB"/>
    <w:rsid w:val="00817FA0"/>
    <w:rsid w:val="00821D21"/>
    <w:rsid w:val="00836B9A"/>
    <w:rsid w:val="008373D1"/>
    <w:rsid w:val="00842D0C"/>
    <w:rsid w:val="00847C49"/>
    <w:rsid w:val="00852C13"/>
    <w:rsid w:val="00864343"/>
    <w:rsid w:val="008644A6"/>
    <w:rsid w:val="00865160"/>
    <w:rsid w:val="00865DD0"/>
    <w:rsid w:val="0087411D"/>
    <w:rsid w:val="00875FDC"/>
    <w:rsid w:val="0087636D"/>
    <w:rsid w:val="00876CC4"/>
    <w:rsid w:val="008865E3"/>
    <w:rsid w:val="008A1392"/>
    <w:rsid w:val="008A2A53"/>
    <w:rsid w:val="008A527B"/>
    <w:rsid w:val="008B6373"/>
    <w:rsid w:val="008C463C"/>
    <w:rsid w:val="008C620F"/>
    <w:rsid w:val="008D1F3B"/>
    <w:rsid w:val="008D4245"/>
    <w:rsid w:val="008E548D"/>
    <w:rsid w:val="008E746A"/>
    <w:rsid w:val="008F291A"/>
    <w:rsid w:val="008F54F3"/>
    <w:rsid w:val="00900475"/>
    <w:rsid w:val="009006CF"/>
    <w:rsid w:val="009228AB"/>
    <w:rsid w:val="00930ECE"/>
    <w:rsid w:val="009322B8"/>
    <w:rsid w:val="00935708"/>
    <w:rsid w:val="00951706"/>
    <w:rsid w:val="0095416C"/>
    <w:rsid w:val="0095450C"/>
    <w:rsid w:val="0096285E"/>
    <w:rsid w:val="00962DC9"/>
    <w:rsid w:val="009631CB"/>
    <w:rsid w:val="009862DB"/>
    <w:rsid w:val="009902C2"/>
    <w:rsid w:val="00997E1D"/>
    <w:rsid w:val="009A5692"/>
    <w:rsid w:val="009B2E6A"/>
    <w:rsid w:val="009D5791"/>
    <w:rsid w:val="009E3524"/>
    <w:rsid w:val="009E5240"/>
    <w:rsid w:val="009E7E48"/>
    <w:rsid w:val="009F4228"/>
    <w:rsid w:val="00A019B5"/>
    <w:rsid w:val="00A01CF5"/>
    <w:rsid w:val="00A01E13"/>
    <w:rsid w:val="00A228A8"/>
    <w:rsid w:val="00A401EA"/>
    <w:rsid w:val="00A4130D"/>
    <w:rsid w:val="00A4645E"/>
    <w:rsid w:val="00A47A60"/>
    <w:rsid w:val="00A52176"/>
    <w:rsid w:val="00A52228"/>
    <w:rsid w:val="00A60026"/>
    <w:rsid w:val="00A663B7"/>
    <w:rsid w:val="00A66E68"/>
    <w:rsid w:val="00A85933"/>
    <w:rsid w:val="00A9682B"/>
    <w:rsid w:val="00AA182D"/>
    <w:rsid w:val="00AA25DA"/>
    <w:rsid w:val="00AA4D22"/>
    <w:rsid w:val="00AB2817"/>
    <w:rsid w:val="00AB68D5"/>
    <w:rsid w:val="00AD14F5"/>
    <w:rsid w:val="00AD19C5"/>
    <w:rsid w:val="00AD1AA8"/>
    <w:rsid w:val="00AD4845"/>
    <w:rsid w:val="00AF3A18"/>
    <w:rsid w:val="00AF52AC"/>
    <w:rsid w:val="00AF6B67"/>
    <w:rsid w:val="00B03D89"/>
    <w:rsid w:val="00B04BD0"/>
    <w:rsid w:val="00B06274"/>
    <w:rsid w:val="00B1192B"/>
    <w:rsid w:val="00B14BC4"/>
    <w:rsid w:val="00B15E59"/>
    <w:rsid w:val="00B20241"/>
    <w:rsid w:val="00B248C6"/>
    <w:rsid w:val="00B33C87"/>
    <w:rsid w:val="00B36188"/>
    <w:rsid w:val="00B51DD2"/>
    <w:rsid w:val="00B52B4F"/>
    <w:rsid w:val="00B54C23"/>
    <w:rsid w:val="00B62046"/>
    <w:rsid w:val="00B621A8"/>
    <w:rsid w:val="00B6226D"/>
    <w:rsid w:val="00B656EB"/>
    <w:rsid w:val="00B70264"/>
    <w:rsid w:val="00B705B0"/>
    <w:rsid w:val="00B72270"/>
    <w:rsid w:val="00B758D3"/>
    <w:rsid w:val="00B75DC8"/>
    <w:rsid w:val="00B76762"/>
    <w:rsid w:val="00B86CEB"/>
    <w:rsid w:val="00B900FF"/>
    <w:rsid w:val="00B90668"/>
    <w:rsid w:val="00BA5433"/>
    <w:rsid w:val="00BC444D"/>
    <w:rsid w:val="00BD0C70"/>
    <w:rsid w:val="00BD5D5C"/>
    <w:rsid w:val="00BE4E86"/>
    <w:rsid w:val="00BF0C4A"/>
    <w:rsid w:val="00C0777B"/>
    <w:rsid w:val="00C07A79"/>
    <w:rsid w:val="00C101F8"/>
    <w:rsid w:val="00C105B7"/>
    <w:rsid w:val="00C10F38"/>
    <w:rsid w:val="00C12B97"/>
    <w:rsid w:val="00C141DE"/>
    <w:rsid w:val="00C271C4"/>
    <w:rsid w:val="00C30801"/>
    <w:rsid w:val="00C425DE"/>
    <w:rsid w:val="00C425E0"/>
    <w:rsid w:val="00C63E2C"/>
    <w:rsid w:val="00C65AB2"/>
    <w:rsid w:val="00C7100F"/>
    <w:rsid w:val="00C71C0F"/>
    <w:rsid w:val="00C7386B"/>
    <w:rsid w:val="00C96965"/>
    <w:rsid w:val="00CA3D16"/>
    <w:rsid w:val="00CB18E4"/>
    <w:rsid w:val="00CB3EB1"/>
    <w:rsid w:val="00CB79F1"/>
    <w:rsid w:val="00CC1882"/>
    <w:rsid w:val="00CC357A"/>
    <w:rsid w:val="00CD26E2"/>
    <w:rsid w:val="00CD4B8D"/>
    <w:rsid w:val="00CD5195"/>
    <w:rsid w:val="00CD59C2"/>
    <w:rsid w:val="00CD5F09"/>
    <w:rsid w:val="00CE1487"/>
    <w:rsid w:val="00CE5519"/>
    <w:rsid w:val="00CE6DB8"/>
    <w:rsid w:val="00CF5290"/>
    <w:rsid w:val="00D12B1F"/>
    <w:rsid w:val="00D1375E"/>
    <w:rsid w:val="00D23BB1"/>
    <w:rsid w:val="00D24F8D"/>
    <w:rsid w:val="00D27097"/>
    <w:rsid w:val="00D33FB8"/>
    <w:rsid w:val="00D369C9"/>
    <w:rsid w:val="00D44D15"/>
    <w:rsid w:val="00D46875"/>
    <w:rsid w:val="00D46FFA"/>
    <w:rsid w:val="00D47621"/>
    <w:rsid w:val="00D500F1"/>
    <w:rsid w:val="00D51927"/>
    <w:rsid w:val="00D51A3F"/>
    <w:rsid w:val="00D60F93"/>
    <w:rsid w:val="00D653B7"/>
    <w:rsid w:val="00D72F2E"/>
    <w:rsid w:val="00D75931"/>
    <w:rsid w:val="00D76147"/>
    <w:rsid w:val="00D966F4"/>
    <w:rsid w:val="00DB0C0F"/>
    <w:rsid w:val="00DB7BF5"/>
    <w:rsid w:val="00DC3368"/>
    <w:rsid w:val="00DC391A"/>
    <w:rsid w:val="00DC46A0"/>
    <w:rsid w:val="00DD24A8"/>
    <w:rsid w:val="00DE10C7"/>
    <w:rsid w:val="00DE6EFE"/>
    <w:rsid w:val="00E02F68"/>
    <w:rsid w:val="00E16147"/>
    <w:rsid w:val="00E238FC"/>
    <w:rsid w:val="00E24B0A"/>
    <w:rsid w:val="00E260D8"/>
    <w:rsid w:val="00E3101C"/>
    <w:rsid w:val="00E42A90"/>
    <w:rsid w:val="00E441B4"/>
    <w:rsid w:val="00E44E66"/>
    <w:rsid w:val="00E47906"/>
    <w:rsid w:val="00E5543E"/>
    <w:rsid w:val="00E628BD"/>
    <w:rsid w:val="00E6337D"/>
    <w:rsid w:val="00E716AC"/>
    <w:rsid w:val="00E7201F"/>
    <w:rsid w:val="00E74A6F"/>
    <w:rsid w:val="00E82660"/>
    <w:rsid w:val="00E8728E"/>
    <w:rsid w:val="00E93984"/>
    <w:rsid w:val="00E94A27"/>
    <w:rsid w:val="00EA5B2F"/>
    <w:rsid w:val="00EA7EB2"/>
    <w:rsid w:val="00EB10C5"/>
    <w:rsid w:val="00EB6270"/>
    <w:rsid w:val="00EB7870"/>
    <w:rsid w:val="00EC293B"/>
    <w:rsid w:val="00EC2B0B"/>
    <w:rsid w:val="00EC44C2"/>
    <w:rsid w:val="00EC7EC8"/>
    <w:rsid w:val="00EE2860"/>
    <w:rsid w:val="00EE505F"/>
    <w:rsid w:val="00EE5AB6"/>
    <w:rsid w:val="00EE7DE4"/>
    <w:rsid w:val="00EF41F3"/>
    <w:rsid w:val="00EF4ED6"/>
    <w:rsid w:val="00EF59E8"/>
    <w:rsid w:val="00F055E4"/>
    <w:rsid w:val="00F0689E"/>
    <w:rsid w:val="00F1641E"/>
    <w:rsid w:val="00F241FA"/>
    <w:rsid w:val="00F2795A"/>
    <w:rsid w:val="00F33D2B"/>
    <w:rsid w:val="00F37E56"/>
    <w:rsid w:val="00F4746A"/>
    <w:rsid w:val="00F51720"/>
    <w:rsid w:val="00F6712E"/>
    <w:rsid w:val="00F7466F"/>
    <w:rsid w:val="00F815F0"/>
    <w:rsid w:val="00F91A6D"/>
    <w:rsid w:val="00F94D7C"/>
    <w:rsid w:val="00F94F8F"/>
    <w:rsid w:val="00F970C5"/>
    <w:rsid w:val="00FA552E"/>
    <w:rsid w:val="00FB2D13"/>
    <w:rsid w:val="00FB34F5"/>
    <w:rsid w:val="00FB448D"/>
    <w:rsid w:val="00FD22AA"/>
    <w:rsid w:val="00FD37D1"/>
    <w:rsid w:val="00FD7151"/>
    <w:rsid w:val="00FE3B65"/>
    <w:rsid w:val="00FE4E15"/>
    <w:rsid w:val="00FF0920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967542A"/>
  <w15:chartTrackingRefBased/>
  <w15:docId w15:val="{3BC96E90-8DBC-45FF-AD8C-8358EAED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8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3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50F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50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0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6350F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54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F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5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8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4F5"/>
  </w:style>
  <w:style w:type="paragraph" w:styleId="Footer">
    <w:name w:val="footer"/>
    <w:basedOn w:val="Normal"/>
    <w:link w:val="FooterChar"/>
    <w:uiPriority w:val="99"/>
    <w:unhideWhenUsed/>
    <w:rsid w:val="00AD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4F5"/>
  </w:style>
  <w:style w:type="paragraph" w:styleId="Revision">
    <w:name w:val="Revision"/>
    <w:hidden/>
    <w:uiPriority w:val="99"/>
    <w:semiHidden/>
    <w:rsid w:val="0077622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722C8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1E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721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easurydirect.gov/NP/debt/current" TargetMode="External"/><Relationship Id="rId1" Type="http://schemas.openxmlformats.org/officeDocument/2006/relationships/hyperlink" Target="https://www.cbo.gov/sites/default/files/114th-congress-2015-2016/reports/51908-2016_Outlook_Update-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1BB1F.3F25FED0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CF32-FB86-4B74-85E3-D2A5345D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Rhine, Russ (JEC)</dc:creator>
  <cp:keywords/>
  <dc:description/>
  <cp:lastModifiedBy>Gonzalez, Breann (JEC)</cp:lastModifiedBy>
  <cp:revision>2</cp:revision>
  <cp:lastPrinted>2016-08-29T18:49:00Z</cp:lastPrinted>
  <dcterms:created xsi:type="dcterms:W3CDTF">2016-09-01T18:06:00Z</dcterms:created>
  <dcterms:modified xsi:type="dcterms:W3CDTF">2016-09-01T18:06:00Z</dcterms:modified>
</cp:coreProperties>
</file>