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A5F12" w14:textId="519AC048" w:rsidR="006C0304" w:rsidRPr="00EF50E9" w:rsidRDefault="008B53A8" w:rsidP="004D707D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8B53A8">
        <w:rPr>
          <w:rFonts w:ascii="Arial" w:hAnsi="Arial" w:cs="Arial"/>
          <w:noProof/>
          <w:sz w:val="18"/>
        </w:rPr>
        <w:drawing>
          <wp:inline distT="0" distB="0" distL="0" distR="0" wp14:anchorId="2322CAF4" wp14:editId="0627C9AB">
            <wp:extent cx="6858000" cy="1471840"/>
            <wp:effectExtent l="0" t="0" r="0" b="0"/>
            <wp:docPr id="5" name="Picture 5" descr="C:\Users\AS42978\AppData\Local\Microsoft\Windows\Temporary Internet Files\Content.Outlook\WU7ODXXL\Joint Banner 2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42978\AppData\Local\Microsoft\Windows\Temporary Internet Files\Content.Outlook\WU7ODXXL\Joint Banner 2 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80B68" w14:textId="0FE0BFEB" w:rsidR="004D707D" w:rsidRPr="00E401AC" w:rsidRDefault="00E143B9" w:rsidP="004D707D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E401AC">
        <w:rPr>
          <w:rFonts w:ascii="Arial" w:hAnsi="Arial" w:cs="Arial"/>
          <w:szCs w:val="24"/>
        </w:rPr>
        <w:t>July</w:t>
      </w:r>
      <w:r w:rsidR="00A71611" w:rsidRPr="00E401AC">
        <w:rPr>
          <w:rFonts w:ascii="Arial" w:hAnsi="Arial" w:cs="Arial"/>
          <w:szCs w:val="24"/>
        </w:rPr>
        <w:t xml:space="preserve"> </w:t>
      </w:r>
      <w:r w:rsidR="00D15F95">
        <w:rPr>
          <w:rFonts w:ascii="Arial" w:hAnsi="Arial" w:cs="Arial"/>
          <w:szCs w:val="24"/>
        </w:rPr>
        <w:t>31</w:t>
      </w:r>
      <w:r w:rsidR="00A71611" w:rsidRPr="00E401AC">
        <w:rPr>
          <w:rFonts w:ascii="Arial" w:hAnsi="Arial" w:cs="Arial"/>
          <w:szCs w:val="24"/>
        </w:rPr>
        <w:t xml:space="preserve">, </w:t>
      </w:r>
      <w:r w:rsidR="004D707D" w:rsidRPr="00E401AC">
        <w:rPr>
          <w:rFonts w:ascii="Arial" w:hAnsi="Arial" w:cs="Arial"/>
          <w:szCs w:val="24"/>
        </w:rPr>
        <w:t>2017</w:t>
      </w:r>
    </w:p>
    <w:p w14:paraId="422E2F99" w14:textId="587EAD8D" w:rsidR="006C0304" w:rsidRPr="00E401AC" w:rsidRDefault="004D707D" w:rsidP="000A58A1">
      <w:pPr>
        <w:jc w:val="center"/>
        <w:rPr>
          <w:rFonts w:ascii="Arial" w:hAnsi="Arial" w:cs="Arial"/>
          <w:b/>
          <w:sz w:val="24"/>
          <w:szCs w:val="24"/>
        </w:rPr>
      </w:pPr>
      <w:r w:rsidRPr="00E401AC">
        <w:rPr>
          <w:rFonts w:ascii="Arial" w:hAnsi="Arial" w:cs="Arial"/>
          <w:b/>
          <w:sz w:val="24"/>
          <w:szCs w:val="24"/>
        </w:rPr>
        <w:t>GDP Review (</w:t>
      </w:r>
      <w:r w:rsidR="00E143B9" w:rsidRPr="00E401AC">
        <w:rPr>
          <w:rFonts w:ascii="Arial" w:hAnsi="Arial" w:cs="Arial"/>
          <w:b/>
          <w:sz w:val="24"/>
          <w:szCs w:val="24"/>
        </w:rPr>
        <w:t>Second</w:t>
      </w:r>
      <w:r w:rsidRPr="00E401AC">
        <w:rPr>
          <w:rFonts w:ascii="Arial" w:hAnsi="Arial" w:cs="Arial"/>
          <w:b/>
          <w:sz w:val="24"/>
          <w:szCs w:val="24"/>
        </w:rPr>
        <w:t xml:space="preserve"> Quarter 201</w:t>
      </w:r>
      <w:r w:rsidR="00112467" w:rsidRPr="00E401AC">
        <w:rPr>
          <w:rFonts w:ascii="Arial" w:hAnsi="Arial" w:cs="Arial"/>
          <w:b/>
          <w:sz w:val="24"/>
          <w:szCs w:val="24"/>
        </w:rPr>
        <w:t>7</w:t>
      </w:r>
      <w:r w:rsidRPr="00E401AC">
        <w:rPr>
          <w:rFonts w:ascii="Arial" w:hAnsi="Arial" w:cs="Arial"/>
          <w:b/>
          <w:sz w:val="24"/>
          <w:szCs w:val="24"/>
        </w:rPr>
        <w:t>)</w:t>
      </w:r>
    </w:p>
    <w:p w14:paraId="72291CD6" w14:textId="19EED8AC" w:rsidR="006263C9" w:rsidRPr="00E401AC" w:rsidRDefault="00093B0D" w:rsidP="00E1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E401AC">
        <w:rPr>
          <w:rFonts w:ascii="Arial" w:hAnsi="Arial" w:cs="Arial"/>
          <w:b/>
        </w:rPr>
        <w:t xml:space="preserve">GDP Review </w:t>
      </w:r>
      <w:r w:rsidR="006263C9" w:rsidRPr="00E401AC">
        <w:rPr>
          <w:rFonts w:ascii="Arial" w:hAnsi="Arial" w:cs="Arial"/>
          <w:b/>
        </w:rPr>
        <w:t>Snapshot</w:t>
      </w:r>
    </w:p>
    <w:p w14:paraId="55F139D5" w14:textId="0C0BE93A" w:rsidR="006263C9" w:rsidRPr="00E401AC" w:rsidRDefault="004C441A" w:rsidP="00774C8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first estimate of s</w:t>
      </w:r>
      <w:r w:rsidR="00E143B9" w:rsidRPr="00E401AC">
        <w:rPr>
          <w:rFonts w:ascii="Arial" w:hAnsi="Arial" w:cs="Arial"/>
        </w:rPr>
        <w:t>econd</w:t>
      </w:r>
      <w:r w:rsidR="00774C85" w:rsidRPr="00E401AC">
        <w:rPr>
          <w:rFonts w:ascii="Arial" w:hAnsi="Arial" w:cs="Arial"/>
        </w:rPr>
        <w:t xml:space="preserve"> quarter 2017</w:t>
      </w:r>
      <w:r w:rsidR="00187FDC" w:rsidRPr="00E401AC">
        <w:rPr>
          <w:rFonts w:ascii="Arial" w:hAnsi="Arial" w:cs="Arial"/>
        </w:rPr>
        <w:t xml:space="preserve"> real GDP </w:t>
      </w:r>
      <w:r w:rsidR="004C11E0" w:rsidRPr="00E401AC">
        <w:rPr>
          <w:rFonts w:ascii="Arial" w:hAnsi="Arial" w:cs="Arial"/>
        </w:rPr>
        <w:t>growth</w:t>
      </w:r>
      <w:r w:rsidR="00774C85" w:rsidRPr="00E401AC">
        <w:rPr>
          <w:rFonts w:ascii="Arial" w:hAnsi="Arial" w:cs="Arial"/>
        </w:rPr>
        <w:t xml:space="preserve"> was</w:t>
      </w:r>
      <w:r w:rsidR="00187FDC" w:rsidRPr="00E401AC">
        <w:rPr>
          <w:rFonts w:ascii="Arial" w:hAnsi="Arial" w:cs="Arial"/>
        </w:rPr>
        <w:t xml:space="preserve"> </w:t>
      </w:r>
      <w:r w:rsidR="00E173F8" w:rsidRPr="00E401AC">
        <w:rPr>
          <w:rFonts w:ascii="Arial" w:hAnsi="Arial" w:cs="Arial"/>
        </w:rPr>
        <w:t>2</w:t>
      </w:r>
      <w:r w:rsidR="00774C85" w:rsidRPr="00E401AC">
        <w:rPr>
          <w:rFonts w:ascii="Arial" w:hAnsi="Arial" w:cs="Arial"/>
        </w:rPr>
        <w:t>.</w:t>
      </w:r>
      <w:r w:rsidR="00E173F8" w:rsidRPr="00E401AC">
        <w:rPr>
          <w:rFonts w:ascii="Arial" w:hAnsi="Arial" w:cs="Arial"/>
        </w:rPr>
        <w:t>6</w:t>
      </w:r>
      <w:r w:rsidR="00774C85" w:rsidRPr="00E401AC">
        <w:rPr>
          <w:rFonts w:ascii="Arial" w:hAnsi="Arial" w:cs="Arial"/>
        </w:rPr>
        <w:t>% at an annualized rate.</w:t>
      </w:r>
    </w:p>
    <w:p w14:paraId="3E8EEFB9" w14:textId="3F007A34" w:rsidR="00E401AC" w:rsidRPr="00E401AC" w:rsidRDefault="00E173F8" w:rsidP="00E401A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E401AC">
        <w:rPr>
          <w:rFonts w:ascii="Arial" w:hAnsi="Arial" w:cs="Arial"/>
        </w:rPr>
        <w:t>The acceleration from last quarter was driven</w:t>
      </w:r>
      <w:r w:rsidR="00E401AC" w:rsidRPr="00E401AC">
        <w:rPr>
          <w:rFonts w:ascii="Arial" w:hAnsi="Arial" w:cs="Arial"/>
        </w:rPr>
        <w:t xml:space="preserve"> primarily</w:t>
      </w:r>
      <w:r w:rsidRPr="00E401AC">
        <w:rPr>
          <w:rFonts w:ascii="Arial" w:hAnsi="Arial" w:cs="Arial"/>
        </w:rPr>
        <w:t xml:space="preserve"> by </w:t>
      </w:r>
      <w:r w:rsidR="00E401AC" w:rsidRPr="00E401AC">
        <w:rPr>
          <w:rFonts w:ascii="Arial" w:hAnsi="Arial" w:cs="Arial"/>
        </w:rPr>
        <w:t>a larger increase in consumer spending.</w:t>
      </w:r>
    </w:p>
    <w:p w14:paraId="002FD545" w14:textId="273BC017" w:rsidR="0041586E" w:rsidRPr="00E401AC" w:rsidRDefault="00E401AC" w:rsidP="00774C8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E401AC">
        <w:rPr>
          <w:rFonts w:ascii="Arial" w:hAnsi="Arial" w:cs="Arial"/>
        </w:rPr>
        <w:t xml:space="preserve">BEA issued its </w:t>
      </w:r>
      <w:r w:rsidR="00D15F95" w:rsidRPr="00E401AC">
        <w:rPr>
          <w:rFonts w:ascii="Arial" w:hAnsi="Arial" w:cs="Arial"/>
        </w:rPr>
        <w:t xml:space="preserve">annual </w:t>
      </w:r>
      <w:r w:rsidR="004C441A">
        <w:rPr>
          <w:rFonts w:ascii="Arial" w:hAnsi="Arial" w:cs="Arial"/>
        </w:rPr>
        <w:t xml:space="preserve">three-year </w:t>
      </w:r>
      <w:r w:rsidRPr="00E401AC">
        <w:rPr>
          <w:rFonts w:ascii="Arial" w:hAnsi="Arial" w:cs="Arial"/>
        </w:rPr>
        <w:t xml:space="preserve">comprehensive update </w:t>
      </w:r>
      <w:r w:rsidR="004C441A">
        <w:rPr>
          <w:rFonts w:ascii="Arial" w:hAnsi="Arial" w:cs="Arial"/>
        </w:rPr>
        <w:t>(</w:t>
      </w:r>
      <w:r w:rsidR="00D15F95">
        <w:rPr>
          <w:rFonts w:ascii="Arial" w:hAnsi="Arial" w:cs="Arial"/>
        </w:rPr>
        <w:t>2014-2016</w:t>
      </w:r>
      <w:r w:rsidR="004C441A">
        <w:rPr>
          <w:rFonts w:ascii="Arial" w:hAnsi="Arial" w:cs="Arial"/>
        </w:rPr>
        <w:t>)</w:t>
      </w:r>
      <w:r w:rsidRPr="00E401AC">
        <w:rPr>
          <w:rFonts w:ascii="Arial" w:hAnsi="Arial" w:cs="Arial"/>
        </w:rPr>
        <w:t>.</w:t>
      </w:r>
    </w:p>
    <w:p w14:paraId="2E442538" w14:textId="39C22108" w:rsidR="006263C9" w:rsidRPr="00E401AC" w:rsidRDefault="006263C9" w:rsidP="006C0304">
      <w:pPr>
        <w:spacing w:after="0"/>
        <w:rPr>
          <w:rFonts w:ascii="Arial" w:hAnsi="Arial" w:cs="Arial"/>
          <w:b/>
          <w:sz w:val="20"/>
        </w:rPr>
      </w:pPr>
    </w:p>
    <w:p w14:paraId="00E4D64E" w14:textId="5FD8C448" w:rsidR="006C0304" w:rsidRPr="00E401AC" w:rsidRDefault="00093B0D" w:rsidP="00BA644A">
      <w:pPr>
        <w:spacing w:after="0"/>
        <w:jc w:val="both"/>
        <w:rPr>
          <w:rFonts w:ascii="Arial" w:hAnsi="Arial" w:cs="Arial"/>
          <w:b/>
        </w:rPr>
      </w:pPr>
      <w:r w:rsidRPr="00E401AC">
        <w:rPr>
          <w:rFonts w:ascii="Arial" w:hAnsi="Arial" w:cs="Arial"/>
          <w:b/>
        </w:rPr>
        <w:t>Details</w:t>
      </w:r>
    </w:p>
    <w:p w14:paraId="310D73E5" w14:textId="3F50AC78" w:rsidR="00590C45" w:rsidRPr="00624E62" w:rsidRDefault="006C0304" w:rsidP="00624E62">
      <w:pPr>
        <w:jc w:val="both"/>
        <w:rPr>
          <w:rFonts w:ascii="Arial" w:hAnsi="Arial" w:cs="Arial"/>
        </w:rPr>
      </w:pPr>
      <w:r w:rsidRPr="00E401AC">
        <w:rPr>
          <w:rFonts w:ascii="Arial" w:hAnsi="Arial" w:cs="Arial"/>
        </w:rPr>
        <w:t xml:space="preserve">The </w:t>
      </w:r>
      <w:hyperlink r:id="rId9" w:history="1">
        <w:r w:rsidRPr="004C441A">
          <w:rPr>
            <w:rStyle w:val="Hyperlink"/>
            <w:rFonts w:ascii="Arial" w:hAnsi="Arial" w:cs="Arial"/>
          </w:rPr>
          <w:t>Bureau o</w:t>
        </w:r>
        <w:r w:rsidRPr="004C441A">
          <w:rPr>
            <w:rStyle w:val="Hyperlink"/>
            <w:rFonts w:ascii="Arial" w:hAnsi="Arial" w:cs="Arial"/>
          </w:rPr>
          <w:t>f</w:t>
        </w:r>
        <w:r w:rsidRPr="004C441A">
          <w:rPr>
            <w:rStyle w:val="Hyperlink"/>
            <w:rFonts w:ascii="Arial" w:hAnsi="Arial" w:cs="Arial"/>
          </w:rPr>
          <w:t xml:space="preserve"> Economic Ana</w:t>
        </w:r>
        <w:bookmarkStart w:id="0" w:name="_GoBack"/>
        <w:bookmarkEnd w:id="0"/>
        <w:r w:rsidRPr="004C441A">
          <w:rPr>
            <w:rStyle w:val="Hyperlink"/>
            <w:rFonts w:ascii="Arial" w:hAnsi="Arial" w:cs="Arial"/>
          </w:rPr>
          <w:t>lysis (B</w:t>
        </w:r>
        <w:r w:rsidRPr="004C441A">
          <w:rPr>
            <w:rStyle w:val="Hyperlink"/>
            <w:rFonts w:ascii="Arial" w:hAnsi="Arial" w:cs="Arial"/>
          </w:rPr>
          <w:t>E</w:t>
        </w:r>
        <w:r w:rsidRPr="004C441A">
          <w:rPr>
            <w:rStyle w:val="Hyperlink"/>
            <w:rFonts w:ascii="Arial" w:hAnsi="Arial" w:cs="Arial"/>
          </w:rPr>
          <w:t xml:space="preserve">A) </w:t>
        </w:r>
        <w:r w:rsidR="0041586E" w:rsidRPr="004C441A">
          <w:rPr>
            <w:rStyle w:val="Hyperlink"/>
            <w:rFonts w:ascii="Arial" w:hAnsi="Arial" w:cs="Arial"/>
          </w:rPr>
          <w:t>reported</w:t>
        </w:r>
      </w:hyperlink>
      <w:r w:rsidR="0041586E" w:rsidRPr="00E401AC">
        <w:rPr>
          <w:rFonts w:ascii="Arial" w:hAnsi="Arial" w:cs="Arial"/>
        </w:rPr>
        <w:t xml:space="preserve"> that </w:t>
      </w:r>
      <w:r w:rsidRPr="00E401AC">
        <w:rPr>
          <w:rFonts w:ascii="Arial" w:hAnsi="Arial" w:cs="Arial"/>
        </w:rPr>
        <w:t>real gross domestic product (</w:t>
      </w:r>
      <w:r w:rsidR="0041586E" w:rsidRPr="00E401AC">
        <w:rPr>
          <w:rFonts w:ascii="Arial" w:hAnsi="Arial" w:cs="Arial"/>
        </w:rPr>
        <w:t>R</w:t>
      </w:r>
      <w:r w:rsidRPr="00E401AC">
        <w:rPr>
          <w:rFonts w:ascii="Arial" w:hAnsi="Arial" w:cs="Arial"/>
        </w:rPr>
        <w:t>GDP)</w:t>
      </w:r>
      <w:r w:rsidR="00D15F95">
        <w:rPr>
          <w:rFonts w:ascii="Arial" w:hAnsi="Arial" w:cs="Arial"/>
        </w:rPr>
        <w:t xml:space="preserve"> </w:t>
      </w:r>
      <w:r w:rsidRPr="00E401AC">
        <w:rPr>
          <w:rFonts w:ascii="Arial" w:hAnsi="Arial" w:cs="Arial"/>
        </w:rPr>
        <w:t xml:space="preserve">grew </w:t>
      </w:r>
      <w:r w:rsidR="006263C9" w:rsidRPr="00E401AC">
        <w:rPr>
          <w:rFonts w:ascii="Arial" w:hAnsi="Arial" w:cs="Arial"/>
        </w:rPr>
        <w:t xml:space="preserve">at a </w:t>
      </w:r>
      <w:r w:rsidR="00E401AC" w:rsidRPr="00E401AC">
        <w:rPr>
          <w:rFonts w:ascii="Arial" w:hAnsi="Arial" w:cs="Arial"/>
        </w:rPr>
        <w:t>2</w:t>
      </w:r>
      <w:r w:rsidR="00187FDC" w:rsidRPr="00E401AC">
        <w:rPr>
          <w:rFonts w:ascii="Arial" w:hAnsi="Arial" w:cs="Arial"/>
        </w:rPr>
        <w:t>.</w:t>
      </w:r>
      <w:r w:rsidR="00E401AC" w:rsidRPr="00E401AC">
        <w:rPr>
          <w:rFonts w:ascii="Arial" w:hAnsi="Arial" w:cs="Arial"/>
        </w:rPr>
        <w:t>6</w:t>
      </w:r>
      <w:r w:rsidRPr="00E401AC">
        <w:rPr>
          <w:rFonts w:ascii="Arial" w:hAnsi="Arial" w:cs="Arial"/>
        </w:rPr>
        <w:t xml:space="preserve">% </w:t>
      </w:r>
      <w:r w:rsidR="006263C9" w:rsidRPr="00E401AC">
        <w:rPr>
          <w:rFonts w:ascii="Arial" w:hAnsi="Arial" w:cs="Arial"/>
        </w:rPr>
        <w:t>annual rate</w:t>
      </w:r>
      <w:r w:rsidR="00E173F8" w:rsidRPr="00E401AC">
        <w:rPr>
          <w:rStyle w:val="EndnoteReference"/>
          <w:rFonts w:ascii="Arial" w:hAnsi="Arial" w:cs="Arial"/>
        </w:rPr>
        <w:endnoteReference w:id="1"/>
      </w:r>
      <w:r w:rsidR="00E173F8" w:rsidRPr="00E401AC">
        <w:rPr>
          <w:rFonts w:ascii="Arial" w:hAnsi="Arial" w:cs="Arial"/>
        </w:rPr>
        <w:t xml:space="preserve"> </w:t>
      </w:r>
      <w:r w:rsidRPr="00E401AC">
        <w:rPr>
          <w:rFonts w:ascii="Arial" w:hAnsi="Arial" w:cs="Arial"/>
        </w:rPr>
        <w:t xml:space="preserve">in the </w:t>
      </w:r>
      <w:r w:rsidR="00E143B9" w:rsidRPr="00E401AC">
        <w:rPr>
          <w:rFonts w:ascii="Arial" w:hAnsi="Arial" w:cs="Arial"/>
        </w:rPr>
        <w:t>second</w:t>
      </w:r>
      <w:r w:rsidRPr="00E401AC">
        <w:rPr>
          <w:rFonts w:ascii="Arial" w:hAnsi="Arial" w:cs="Arial"/>
        </w:rPr>
        <w:t xml:space="preserve"> quarter</w:t>
      </w:r>
      <w:r w:rsidR="001C21C0" w:rsidRPr="00E401AC">
        <w:rPr>
          <w:rFonts w:ascii="Arial" w:hAnsi="Arial" w:cs="Arial"/>
        </w:rPr>
        <w:t xml:space="preserve"> of 2017</w:t>
      </w:r>
      <w:r w:rsidR="00EF50E9" w:rsidRPr="00E401AC">
        <w:rPr>
          <w:rFonts w:ascii="Arial" w:hAnsi="Arial" w:cs="Arial"/>
        </w:rPr>
        <w:t>.</w:t>
      </w:r>
      <w:r w:rsidRPr="00E401AC">
        <w:rPr>
          <w:rFonts w:ascii="Arial" w:hAnsi="Arial" w:cs="Arial"/>
        </w:rPr>
        <w:t xml:space="preserve"> This compares to</w:t>
      </w:r>
      <w:r w:rsidR="0041586E" w:rsidRPr="00E401AC">
        <w:rPr>
          <w:rFonts w:ascii="Arial" w:hAnsi="Arial" w:cs="Arial"/>
        </w:rPr>
        <w:t xml:space="preserve"> </w:t>
      </w:r>
      <w:r w:rsidR="00E143B9" w:rsidRPr="00E401AC">
        <w:rPr>
          <w:rFonts w:ascii="Arial" w:hAnsi="Arial" w:cs="Arial"/>
        </w:rPr>
        <w:t>1.</w:t>
      </w:r>
      <w:r w:rsidR="00E401AC" w:rsidRPr="00E401AC">
        <w:rPr>
          <w:rFonts w:ascii="Arial" w:hAnsi="Arial" w:cs="Arial"/>
        </w:rPr>
        <w:t>2</w:t>
      </w:r>
      <w:r w:rsidR="00E143B9" w:rsidRPr="00E401AC">
        <w:rPr>
          <w:rFonts w:ascii="Arial" w:hAnsi="Arial" w:cs="Arial"/>
        </w:rPr>
        <w:t xml:space="preserve">% for the previous quarter, and </w:t>
      </w:r>
      <w:r w:rsidR="00E401AC" w:rsidRPr="00E401AC">
        <w:rPr>
          <w:rFonts w:ascii="Arial" w:hAnsi="Arial" w:cs="Arial"/>
        </w:rPr>
        <w:t>1</w:t>
      </w:r>
      <w:r w:rsidR="00121327" w:rsidRPr="00E401AC">
        <w:rPr>
          <w:rFonts w:ascii="Arial" w:hAnsi="Arial" w:cs="Arial"/>
        </w:rPr>
        <w:t>.</w:t>
      </w:r>
      <w:r w:rsidR="00E401AC" w:rsidRPr="00E401AC">
        <w:rPr>
          <w:rFonts w:ascii="Arial" w:hAnsi="Arial" w:cs="Arial"/>
        </w:rPr>
        <w:t>8</w:t>
      </w:r>
      <w:r w:rsidR="001C21C0" w:rsidRPr="00E401AC">
        <w:rPr>
          <w:rFonts w:ascii="Arial" w:hAnsi="Arial" w:cs="Arial"/>
        </w:rPr>
        <w:t xml:space="preserve">%, </w:t>
      </w:r>
      <w:r w:rsidR="00E401AC" w:rsidRPr="00E401AC">
        <w:rPr>
          <w:rFonts w:ascii="Arial" w:hAnsi="Arial" w:cs="Arial"/>
        </w:rPr>
        <w:t>2</w:t>
      </w:r>
      <w:r w:rsidRPr="00E401AC">
        <w:rPr>
          <w:rFonts w:ascii="Arial" w:hAnsi="Arial" w:cs="Arial"/>
        </w:rPr>
        <w:t>.</w:t>
      </w:r>
      <w:r w:rsidR="00E401AC" w:rsidRPr="00E401AC">
        <w:rPr>
          <w:rFonts w:ascii="Arial" w:hAnsi="Arial" w:cs="Arial"/>
        </w:rPr>
        <w:t>8</w:t>
      </w:r>
      <w:r w:rsidRPr="00E401AC">
        <w:rPr>
          <w:rFonts w:ascii="Arial" w:hAnsi="Arial" w:cs="Arial"/>
        </w:rPr>
        <w:t xml:space="preserve">%, </w:t>
      </w:r>
      <w:r w:rsidR="00E143B9" w:rsidRPr="00E401AC">
        <w:rPr>
          <w:rFonts w:ascii="Arial" w:hAnsi="Arial" w:cs="Arial"/>
        </w:rPr>
        <w:t xml:space="preserve">and </w:t>
      </w:r>
      <w:r w:rsidR="00E401AC" w:rsidRPr="00E401AC">
        <w:rPr>
          <w:rFonts w:ascii="Arial" w:hAnsi="Arial" w:cs="Arial"/>
        </w:rPr>
        <w:t>2</w:t>
      </w:r>
      <w:r w:rsidRPr="00E401AC">
        <w:rPr>
          <w:rFonts w:ascii="Arial" w:hAnsi="Arial" w:cs="Arial"/>
        </w:rPr>
        <w:t>.</w:t>
      </w:r>
      <w:r w:rsidR="00E401AC" w:rsidRPr="00E401AC">
        <w:rPr>
          <w:rFonts w:ascii="Arial" w:hAnsi="Arial" w:cs="Arial"/>
        </w:rPr>
        <w:t>2</w:t>
      </w:r>
      <w:r w:rsidRPr="00E401AC">
        <w:rPr>
          <w:rFonts w:ascii="Arial" w:hAnsi="Arial" w:cs="Arial"/>
        </w:rPr>
        <w:t>%</w:t>
      </w:r>
      <w:r w:rsidR="00E143B9" w:rsidRPr="00E401AC">
        <w:rPr>
          <w:rFonts w:ascii="Arial" w:hAnsi="Arial" w:cs="Arial"/>
        </w:rPr>
        <w:t xml:space="preserve"> </w:t>
      </w:r>
      <w:r w:rsidRPr="00E401AC">
        <w:rPr>
          <w:rFonts w:ascii="Arial" w:hAnsi="Arial" w:cs="Arial"/>
        </w:rPr>
        <w:t>in the</w:t>
      </w:r>
      <w:r w:rsidR="00E143B9" w:rsidRPr="00E401AC">
        <w:rPr>
          <w:rFonts w:ascii="Arial" w:hAnsi="Arial" w:cs="Arial"/>
        </w:rPr>
        <w:t xml:space="preserve"> </w:t>
      </w:r>
      <w:r w:rsidR="001C21C0" w:rsidRPr="00E401AC">
        <w:rPr>
          <w:rFonts w:ascii="Arial" w:hAnsi="Arial" w:cs="Arial"/>
        </w:rPr>
        <w:t>fourth,</w:t>
      </w:r>
      <w:r w:rsidRPr="00E401AC">
        <w:rPr>
          <w:rFonts w:ascii="Arial" w:hAnsi="Arial" w:cs="Arial"/>
        </w:rPr>
        <w:t xml:space="preserve"> third,</w:t>
      </w:r>
      <w:r w:rsidR="00E143B9" w:rsidRPr="00E401AC">
        <w:rPr>
          <w:rFonts w:ascii="Arial" w:hAnsi="Arial" w:cs="Arial"/>
        </w:rPr>
        <w:t xml:space="preserve"> and</w:t>
      </w:r>
      <w:r w:rsidRPr="00E401AC">
        <w:rPr>
          <w:rFonts w:ascii="Arial" w:hAnsi="Arial" w:cs="Arial"/>
        </w:rPr>
        <w:t xml:space="preserve"> second</w:t>
      </w:r>
      <w:r w:rsidR="00450683" w:rsidRPr="00E401AC">
        <w:rPr>
          <w:rFonts w:ascii="Arial" w:hAnsi="Arial" w:cs="Arial"/>
        </w:rPr>
        <w:t xml:space="preserve"> quarters</w:t>
      </w:r>
      <w:r w:rsidR="00590C45" w:rsidRPr="00E401AC">
        <w:rPr>
          <w:rFonts w:ascii="Arial" w:hAnsi="Arial" w:cs="Arial"/>
        </w:rPr>
        <w:t xml:space="preserve"> of 2016</w:t>
      </w:r>
      <w:r w:rsidR="00450683" w:rsidRPr="00E401AC">
        <w:rPr>
          <w:rFonts w:ascii="Arial" w:hAnsi="Arial" w:cs="Arial"/>
        </w:rPr>
        <w:t>, respectively.</w:t>
      </w:r>
      <w:r w:rsidR="00EF50E9" w:rsidRPr="00E401AC">
        <w:rPr>
          <w:rFonts w:ascii="Arial" w:hAnsi="Arial" w:cs="Arial"/>
        </w:rPr>
        <w:t xml:space="preserve"> </w:t>
      </w:r>
      <w:r w:rsidR="005B23D3" w:rsidRPr="00E401AC">
        <w:rPr>
          <w:rFonts w:ascii="Arial" w:hAnsi="Arial" w:cs="Arial"/>
        </w:rPr>
        <w:t xml:space="preserve">Nominal GDP (NGDP), which measures total spending in the economy </w:t>
      </w:r>
      <w:r w:rsidR="00E143B9" w:rsidRPr="00E401AC">
        <w:rPr>
          <w:rFonts w:ascii="Arial" w:hAnsi="Arial" w:cs="Arial"/>
        </w:rPr>
        <w:t>without adjusting for inflation</w:t>
      </w:r>
      <w:r w:rsidR="005B23D3" w:rsidRPr="00E401AC">
        <w:rPr>
          <w:rFonts w:ascii="Arial" w:hAnsi="Arial" w:cs="Arial"/>
        </w:rPr>
        <w:t xml:space="preserve">, increased by </w:t>
      </w:r>
      <w:r w:rsidR="00E401AC" w:rsidRPr="00E401AC">
        <w:rPr>
          <w:rFonts w:ascii="Arial" w:hAnsi="Arial" w:cs="Arial"/>
        </w:rPr>
        <w:t>3</w:t>
      </w:r>
      <w:r w:rsidR="005B23D3" w:rsidRPr="00E401AC">
        <w:rPr>
          <w:rFonts w:ascii="Arial" w:hAnsi="Arial" w:cs="Arial"/>
        </w:rPr>
        <w:t>.</w:t>
      </w:r>
      <w:r w:rsidR="00E401AC" w:rsidRPr="00E401AC">
        <w:rPr>
          <w:rFonts w:ascii="Arial" w:hAnsi="Arial" w:cs="Arial"/>
        </w:rPr>
        <w:t>6</w:t>
      </w:r>
      <w:r w:rsidR="00590C45" w:rsidRPr="00E401AC">
        <w:rPr>
          <w:rFonts w:ascii="Arial" w:hAnsi="Arial" w:cs="Arial"/>
        </w:rPr>
        <w:t>%.</w:t>
      </w:r>
      <w:r w:rsidR="005B23D3" w:rsidRPr="00E401AC">
        <w:rPr>
          <w:rFonts w:ascii="Arial" w:hAnsi="Arial" w:cs="Arial"/>
        </w:rPr>
        <w:t xml:space="preserve"> After adjusting for </w:t>
      </w:r>
      <w:r w:rsidR="00E401AC" w:rsidRPr="00E401AC">
        <w:rPr>
          <w:rFonts w:ascii="Arial" w:hAnsi="Arial" w:cs="Arial"/>
        </w:rPr>
        <w:t>1</w:t>
      </w:r>
      <w:r w:rsidR="005B23D3" w:rsidRPr="00E401AC">
        <w:rPr>
          <w:rFonts w:ascii="Arial" w:hAnsi="Arial" w:cs="Arial"/>
        </w:rPr>
        <w:t>.</w:t>
      </w:r>
      <w:r w:rsidR="00E401AC" w:rsidRPr="00E401AC">
        <w:rPr>
          <w:rFonts w:ascii="Arial" w:hAnsi="Arial" w:cs="Arial"/>
        </w:rPr>
        <w:t>0</w:t>
      </w:r>
      <w:r w:rsidR="005B23D3" w:rsidRPr="00E401AC">
        <w:rPr>
          <w:rFonts w:ascii="Arial" w:hAnsi="Arial" w:cs="Arial"/>
        </w:rPr>
        <w:t>%</w:t>
      </w:r>
      <w:r w:rsidR="00281DFF" w:rsidRPr="00E401AC">
        <w:rPr>
          <w:rFonts w:ascii="Arial" w:hAnsi="Arial" w:cs="Arial"/>
        </w:rPr>
        <w:t xml:space="preserve"> inflation</w:t>
      </w:r>
      <w:r w:rsidR="005B23D3" w:rsidRPr="00E401AC">
        <w:rPr>
          <w:rFonts w:ascii="Arial" w:hAnsi="Arial" w:cs="Arial"/>
        </w:rPr>
        <w:t xml:space="preserve">—as measured by the GDP deflator—RGDP growth was </w:t>
      </w:r>
      <w:r w:rsidR="00E401AC" w:rsidRPr="00E401AC">
        <w:rPr>
          <w:rFonts w:ascii="Arial" w:hAnsi="Arial" w:cs="Arial"/>
        </w:rPr>
        <w:t>2.6</w:t>
      </w:r>
      <w:r w:rsidR="005B23D3" w:rsidRPr="00E401AC">
        <w:rPr>
          <w:rFonts w:ascii="Arial" w:hAnsi="Arial" w:cs="Arial"/>
        </w:rPr>
        <w:t>%.</w:t>
      </w:r>
    </w:p>
    <w:p w14:paraId="40D30D8D" w14:textId="0FF957C6" w:rsidR="00450683" w:rsidRPr="00EF50E9" w:rsidRDefault="00A7309D" w:rsidP="000A58A1">
      <w:pPr>
        <w:rPr>
          <w:rFonts w:ascii="Arial" w:hAnsi="Arial" w:cs="Arial"/>
          <w:sz w:val="14"/>
          <w:szCs w:val="24"/>
        </w:rPr>
      </w:pPr>
      <w:r>
        <w:rPr>
          <w:noProof/>
        </w:rPr>
        <w:drawing>
          <wp:inline distT="0" distB="0" distL="0" distR="0" wp14:anchorId="6BA90EF0" wp14:editId="6E6652C3">
            <wp:extent cx="6858000" cy="2272030"/>
            <wp:effectExtent l="0" t="0" r="0" b="139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3380"/>
        <w:gridCol w:w="1240"/>
        <w:gridCol w:w="1240"/>
        <w:gridCol w:w="1240"/>
        <w:gridCol w:w="1240"/>
        <w:gridCol w:w="1240"/>
        <w:gridCol w:w="1240"/>
      </w:tblGrid>
      <w:tr w:rsidR="00E173F8" w:rsidRPr="00E173F8" w14:paraId="2F9DADE1" w14:textId="77777777" w:rsidTr="00E173F8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E6F7" w14:textId="77777777" w:rsidR="00E173F8" w:rsidRPr="00E173F8" w:rsidRDefault="00E173F8" w:rsidP="00E173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173F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68F76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73F8">
              <w:rPr>
                <w:rFonts w:ascii="Arial" w:eastAsia="Times New Roman" w:hAnsi="Arial" w:cs="Arial"/>
              </w:rPr>
              <w:t>Actual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73EA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73F8">
              <w:rPr>
                <w:rFonts w:ascii="Arial" w:eastAsia="Times New Roman" w:hAnsi="Arial" w:cs="Arial"/>
              </w:rPr>
              <w:t>Blue Chip Consensus Forecast</w:t>
            </w:r>
          </w:p>
        </w:tc>
      </w:tr>
      <w:tr w:rsidR="00E173F8" w:rsidRPr="00E173F8" w14:paraId="7E7C229C" w14:textId="77777777" w:rsidTr="00E173F8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244A5C" w14:textId="77777777" w:rsidR="00E173F8" w:rsidRPr="00E173F8" w:rsidRDefault="00E173F8" w:rsidP="00E173F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73F8">
              <w:rPr>
                <w:rFonts w:ascii="Arial" w:eastAsia="Times New Roman" w:hAnsi="Arial" w:cs="Arial"/>
              </w:rPr>
              <w:t>Component/Quarter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E45790C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73F8">
              <w:rPr>
                <w:rFonts w:ascii="Arial" w:eastAsia="Times New Roman" w:hAnsi="Arial" w:cs="Arial"/>
              </w:rPr>
              <w:t xml:space="preserve"> Q1-2017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41A218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73F8">
              <w:rPr>
                <w:rFonts w:ascii="Arial" w:eastAsia="Times New Roman" w:hAnsi="Arial" w:cs="Arial"/>
                <w:b/>
                <w:bCs/>
              </w:rPr>
              <w:t>Q2-2017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F4394E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73F8">
              <w:rPr>
                <w:rFonts w:ascii="Arial" w:eastAsia="Times New Roman" w:hAnsi="Arial" w:cs="Arial"/>
                <w:b/>
                <w:bCs/>
              </w:rPr>
              <w:t>Q2-2017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E471CDC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73F8">
              <w:rPr>
                <w:rFonts w:ascii="Arial" w:eastAsia="Times New Roman" w:hAnsi="Arial" w:cs="Arial"/>
              </w:rPr>
              <w:t>Q3-2017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2AEE40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73F8">
              <w:rPr>
                <w:rFonts w:ascii="Arial" w:eastAsia="Times New Roman" w:hAnsi="Arial" w:cs="Arial"/>
              </w:rPr>
              <w:t>Q4-2017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2EE49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73F8">
              <w:rPr>
                <w:rFonts w:ascii="Arial" w:eastAsia="Times New Roman" w:hAnsi="Arial" w:cs="Arial"/>
              </w:rPr>
              <w:t>Q1-2018</w:t>
            </w:r>
          </w:p>
        </w:tc>
      </w:tr>
      <w:tr w:rsidR="00E173F8" w:rsidRPr="00E173F8" w14:paraId="4FE94359" w14:textId="77777777" w:rsidTr="00E173F8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AE6F" w14:textId="77777777" w:rsidR="00E173F8" w:rsidRPr="00E173F8" w:rsidRDefault="00E173F8" w:rsidP="00E173F8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E173F8">
              <w:rPr>
                <w:rFonts w:ascii="Arial" w:eastAsia="Times New Roman" w:hAnsi="Arial" w:cs="Arial"/>
                <w:color w:val="002060"/>
              </w:rPr>
              <w:t>Real GDP (RGDP) growth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CA97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E173F8">
              <w:rPr>
                <w:rFonts w:ascii="Arial" w:eastAsia="Times New Roman" w:hAnsi="Arial" w:cs="Arial"/>
                <w:color w:val="002060"/>
              </w:rPr>
              <w:t>1.2%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CD9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E173F8">
              <w:rPr>
                <w:rFonts w:ascii="Arial" w:eastAsia="Times New Roman" w:hAnsi="Arial" w:cs="Arial"/>
                <w:b/>
                <w:bCs/>
                <w:color w:val="002060"/>
              </w:rPr>
              <w:t>2.6%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2A13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E173F8">
              <w:rPr>
                <w:rFonts w:ascii="Arial" w:eastAsia="Times New Roman" w:hAnsi="Arial" w:cs="Arial"/>
                <w:b/>
                <w:bCs/>
                <w:color w:val="002060"/>
              </w:rPr>
              <w:t>2.8%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269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E173F8">
              <w:rPr>
                <w:rFonts w:ascii="Arial" w:eastAsia="Times New Roman" w:hAnsi="Arial" w:cs="Arial"/>
                <w:color w:val="002060"/>
              </w:rPr>
              <w:t>2.5%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3B7B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E173F8">
              <w:rPr>
                <w:rFonts w:ascii="Arial" w:eastAsia="Times New Roman" w:hAnsi="Arial" w:cs="Arial"/>
                <w:color w:val="002060"/>
              </w:rPr>
              <w:t>2.3%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C8E7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E173F8">
              <w:rPr>
                <w:rFonts w:ascii="Arial" w:eastAsia="Times New Roman" w:hAnsi="Arial" w:cs="Arial"/>
                <w:color w:val="002060"/>
              </w:rPr>
              <w:t>2.3%</w:t>
            </w:r>
          </w:p>
        </w:tc>
      </w:tr>
      <w:tr w:rsidR="00E173F8" w:rsidRPr="00E173F8" w14:paraId="0D8A394B" w14:textId="77777777" w:rsidTr="00E173F8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C989B8" w14:textId="77777777" w:rsidR="00E173F8" w:rsidRPr="00E173F8" w:rsidRDefault="00E173F8" w:rsidP="00E173F8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E173F8">
              <w:rPr>
                <w:rFonts w:ascii="Arial" w:eastAsia="Times New Roman" w:hAnsi="Arial" w:cs="Arial"/>
                <w:color w:val="FF0000"/>
              </w:rPr>
              <w:t>Nominal GDP (NGDP) growth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B53042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173F8">
              <w:rPr>
                <w:rFonts w:ascii="Arial" w:eastAsia="Times New Roman" w:hAnsi="Arial" w:cs="Arial"/>
                <w:color w:val="FF0000"/>
              </w:rPr>
              <w:t>3.3%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93AB3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173F8">
              <w:rPr>
                <w:rFonts w:ascii="Arial" w:eastAsia="Times New Roman" w:hAnsi="Arial" w:cs="Arial"/>
                <w:b/>
                <w:bCs/>
                <w:color w:val="FF0000"/>
              </w:rPr>
              <w:t>3.6%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1DE65A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173F8">
              <w:rPr>
                <w:rFonts w:ascii="Arial" w:eastAsia="Times New Roman" w:hAnsi="Arial" w:cs="Arial"/>
                <w:b/>
                <w:bCs/>
                <w:color w:val="FF0000"/>
              </w:rPr>
              <w:t>4.1%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1AF82B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173F8">
              <w:rPr>
                <w:rFonts w:ascii="Arial" w:eastAsia="Times New Roman" w:hAnsi="Arial" w:cs="Arial"/>
                <w:color w:val="FF0000"/>
              </w:rPr>
              <w:t>4.3%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AF4BA2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173F8">
              <w:rPr>
                <w:rFonts w:ascii="Arial" w:eastAsia="Times New Roman" w:hAnsi="Arial" w:cs="Arial"/>
                <w:color w:val="FF0000"/>
              </w:rPr>
              <w:t>4.3%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F560AB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E173F8">
              <w:rPr>
                <w:rFonts w:ascii="Arial" w:eastAsia="Times New Roman" w:hAnsi="Arial" w:cs="Arial"/>
                <w:color w:val="FF0000"/>
              </w:rPr>
              <w:t>4.4%</w:t>
            </w:r>
          </w:p>
        </w:tc>
      </w:tr>
      <w:tr w:rsidR="00E173F8" w:rsidRPr="00E173F8" w14:paraId="40438848" w14:textId="77777777" w:rsidTr="00E173F8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BC6E" w14:textId="77777777" w:rsidR="00E173F8" w:rsidRPr="00E173F8" w:rsidRDefault="00E173F8" w:rsidP="00E173F8">
            <w:pPr>
              <w:spacing w:after="0" w:line="240" w:lineRule="auto"/>
              <w:rPr>
                <w:rFonts w:ascii="Arial" w:eastAsia="Times New Roman" w:hAnsi="Arial" w:cs="Arial"/>
                <w:color w:val="00B0F0"/>
              </w:rPr>
            </w:pPr>
            <w:r w:rsidRPr="00E173F8">
              <w:rPr>
                <w:rFonts w:ascii="Arial" w:eastAsia="Times New Roman" w:hAnsi="Arial" w:cs="Arial"/>
                <w:color w:val="00B0F0"/>
              </w:rPr>
              <w:t>GDP deflator (inflation rate)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D74B2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</w:rPr>
            </w:pPr>
            <w:r w:rsidRPr="00E173F8">
              <w:rPr>
                <w:rFonts w:ascii="Arial" w:eastAsia="Times New Roman" w:hAnsi="Arial" w:cs="Arial"/>
                <w:color w:val="00B0F0"/>
              </w:rPr>
              <w:t>2.0%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500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</w:rPr>
            </w:pPr>
            <w:r w:rsidRPr="00E173F8">
              <w:rPr>
                <w:rFonts w:ascii="Arial" w:eastAsia="Times New Roman" w:hAnsi="Arial" w:cs="Arial"/>
                <w:b/>
                <w:bCs/>
                <w:color w:val="00B0F0"/>
              </w:rPr>
              <w:t>1.0%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EDA7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</w:rPr>
            </w:pPr>
            <w:r w:rsidRPr="00E173F8">
              <w:rPr>
                <w:rFonts w:ascii="Arial" w:eastAsia="Times New Roman" w:hAnsi="Arial" w:cs="Arial"/>
                <w:b/>
                <w:bCs/>
                <w:color w:val="00B0F0"/>
              </w:rPr>
              <w:t>1.3%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BF28A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</w:rPr>
            </w:pPr>
            <w:r w:rsidRPr="00E173F8">
              <w:rPr>
                <w:rFonts w:ascii="Arial" w:eastAsia="Times New Roman" w:hAnsi="Arial" w:cs="Arial"/>
                <w:color w:val="00B0F0"/>
              </w:rPr>
              <w:t>1.8%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46DEE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</w:rPr>
            </w:pPr>
            <w:r w:rsidRPr="00E173F8">
              <w:rPr>
                <w:rFonts w:ascii="Arial" w:eastAsia="Times New Roman" w:hAnsi="Arial" w:cs="Arial"/>
                <w:color w:val="00B0F0"/>
              </w:rPr>
              <w:t>2.0%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F61D" w14:textId="77777777" w:rsidR="00E173F8" w:rsidRPr="00E173F8" w:rsidRDefault="00E173F8" w:rsidP="00E17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</w:rPr>
            </w:pPr>
            <w:r w:rsidRPr="00E173F8">
              <w:rPr>
                <w:rFonts w:ascii="Arial" w:eastAsia="Times New Roman" w:hAnsi="Arial" w:cs="Arial"/>
                <w:color w:val="00B0F0"/>
              </w:rPr>
              <w:t>2.1%</w:t>
            </w:r>
          </w:p>
        </w:tc>
      </w:tr>
    </w:tbl>
    <w:p w14:paraId="36B1BC35" w14:textId="3E42D886" w:rsidR="00E143B9" w:rsidRDefault="00D26904" w:rsidP="00C8486B">
      <w:pPr>
        <w:spacing w:before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Consumer spending was the strongest contributor to RGDP growth, accounting for 1.</w:t>
      </w:r>
      <w:r w:rsidR="00A7309D">
        <w:rPr>
          <w:rFonts w:ascii="Arial" w:hAnsi="Arial" w:cs="Arial"/>
        </w:rPr>
        <w:t>9 percentage points</w:t>
      </w:r>
      <w:r>
        <w:rPr>
          <w:rFonts w:ascii="Arial" w:hAnsi="Arial" w:cs="Arial"/>
        </w:rPr>
        <w:t xml:space="preserve">. </w:t>
      </w:r>
      <w:r w:rsidR="00D8068E">
        <w:rPr>
          <w:rFonts w:ascii="Arial" w:hAnsi="Arial" w:cs="Arial"/>
        </w:rPr>
        <w:t xml:space="preserve">Business investment in equipment and structures was also strong the last two quarters. </w:t>
      </w:r>
      <w:r w:rsidR="0020669C">
        <w:rPr>
          <w:rFonts w:ascii="Arial" w:hAnsi="Arial" w:cs="Arial"/>
        </w:rPr>
        <w:t xml:space="preserve">While last </w:t>
      </w:r>
      <w:r>
        <w:rPr>
          <w:rFonts w:ascii="Arial" w:hAnsi="Arial" w:cs="Arial"/>
        </w:rPr>
        <w:t xml:space="preserve">quarter’s </w:t>
      </w:r>
      <w:r w:rsidR="004C441A">
        <w:rPr>
          <w:rFonts w:ascii="Arial" w:hAnsi="Arial" w:cs="Arial"/>
        </w:rPr>
        <w:t>low</w:t>
      </w:r>
      <w:r w:rsidR="0020669C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GDP </w:t>
      </w:r>
      <w:r w:rsidR="0020669C">
        <w:rPr>
          <w:rFonts w:ascii="Arial" w:hAnsi="Arial" w:cs="Arial"/>
        </w:rPr>
        <w:t xml:space="preserve">growth </w:t>
      </w:r>
      <w:r>
        <w:rPr>
          <w:rFonts w:ascii="Arial" w:hAnsi="Arial" w:cs="Arial"/>
        </w:rPr>
        <w:t xml:space="preserve">was primarily </w:t>
      </w:r>
      <w:r w:rsidR="004C441A">
        <w:rPr>
          <w:rFonts w:ascii="Arial" w:hAnsi="Arial" w:cs="Arial"/>
        </w:rPr>
        <w:t>due to</w:t>
      </w:r>
      <w:r>
        <w:rPr>
          <w:rFonts w:ascii="Arial" w:hAnsi="Arial" w:cs="Arial"/>
        </w:rPr>
        <w:t xml:space="preserve"> reductions of business inventories</w:t>
      </w:r>
      <w:r w:rsidR="0020669C">
        <w:rPr>
          <w:rFonts w:ascii="Arial" w:hAnsi="Arial" w:cs="Arial"/>
        </w:rPr>
        <w:t xml:space="preserve">, this </w:t>
      </w:r>
      <w:r w:rsidR="004C441A">
        <w:rPr>
          <w:rFonts w:ascii="Arial" w:hAnsi="Arial" w:cs="Arial"/>
        </w:rPr>
        <w:t>quarter’s inventories</w:t>
      </w:r>
      <w:r w:rsidR="0020669C">
        <w:rPr>
          <w:rFonts w:ascii="Arial" w:hAnsi="Arial" w:cs="Arial"/>
        </w:rPr>
        <w:t xml:space="preserve"> </w:t>
      </w:r>
      <w:r w:rsidR="00A7309D">
        <w:rPr>
          <w:rFonts w:ascii="Arial" w:hAnsi="Arial" w:cs="Arial"/>
        </w:rPr>
        <w:t>were</w:t>
      </w:r>
      <w:r w:rsidR="00D8068E">
        <w:rPr>
          <w:rFonts w:ascii="Arial" w:hAnsi="Arial" w:cs="Arial"/>
        </w:rPr>
        <w:t xml:space="preserve"> little changed</w:t>
      </w:r>
      <w:r>
        <w:rPr>
          <w:rFonts w:ascii="Arial" w:hAnsi="Arial" w:cs="Arial"/>
        </w:rPr>
        <w:t>.</w:t>
      </w:r>
      <w:r w:rsidR="004C441A">
        <w:rPr>
          <w:rFonts w:ascii="Arial" w:hAnsi="Arial" w:cs="Arial"/>
        </w:rPr>
        <w:t xml:space="preserve"> Reduced spending on home improvements led r</w:t>
      </w:r>
      <w:r>
        <w:rPr>
          <w:rFonts w:ascii="Arial" w:hAnsi="Arial" w:cs="Arial"/>
        </w:rPr>
        <w:t>esidential investment</w:t>
      </w:r>
      <w:r w:rsidR="004C441A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partially offset RGDP growth</w:t>
      </w:r>
      <w:r w:rsidR="0020669C">
        <w:rPr>
          <w:rFonts w:ascii="Arial" w:hAnsi="Arial" w:cs="Arial"/>
        </w:rPr>
        <w:t xml:space="preserve"> by </w:t>
      </w:r>
      <w:r w:rsidR="00041C44">
        <w:rPr>
          <w:rFonts w:ascii="Arial" w:hAnsi="Arial" w:cs="Arial"/>
        </w:rPr>
        <w:t xml:space="preserve">about </w:t>
      </w:r>
      <w:r w:rsidR="0020669C">
        <w:rPr>
          <w:rFonts w:ascii="Arial" w:hAnsi="Arial" w:cs="Arial"/>
        </w:rPr>
        <w:t>0.3 percentages</w:t>
      </w:r>
      <w:r w:rsidR="004C441A">
        <w:rPr>
          <w:rFonts w:ascii="Arial" w:hAnsi="Arial" w:cs="Arial"/>
        </w:rPr>
        <w:t>.</w:t>
      </w:r>
    </w:p>
    <w:p w14:paraId="354132E5" w14:textId="1D1B4D64" w:rsidR="008D0DDF" w:rsidRPr="000A713C" w:rsidRDefault="00FC370D" w:rsidP="008D0DDF">
      <w:pPr>
        <w:spacing w:after="0"/>
        <w:jc w:val="both"/>
        <w:rPr>
          <w:rFonts w:ascii="Arial" w:hAnsi="Arial" w:cs="Arial"/>
        </w:rPr>
      </w:pPr>
      <w:r w:rsidRPr="00D15F95">
        <w:rPr>
          <w:rFonts w:ascii="Arial" w:hAnsi="Arial" w:cs="Arial"/>
        </w:rPr>
        <w:t xml:space="preserve">Two </w:t>
      </w:r>
      <w:r w:rsidR="00A7309D">
        <w:rPr>
          <w:rFonts w:ascii="Arial" w:hAnsi="Arial" w:cs="Arial"/>
        </w:rPr>
        <w:t>updates</w:t>
      </w:r>
      <w:r w:rsidRPr="00D15F95">
        <w:rPr>
          <w:rFonts w:ascii="Arial" w:hAnsi="Arial" w:cs="Arial"/>
        </w:rPr>
        <w:t xml:space="preserve"> </w:t>
      </w:r>
      <w:r w:rsidR="00424D96" w:rsidRPr="00D15F95">
        <w:rPr>
          <w:rFonts w:ascii="Arial" w:hAnsi="Arial" w:cs="Arial"/>
        </w:rPr>
        <w:t>to</w:t>
      </w:r>
      <w:r w:rsidRPr="00D15F95">
        <w:rPr>
          <w:rFonts w:ascii="Arial" w:hAnsi="Arial" w:cs="Arial"/>
        </w:rPr>
        <w:t xml:space="preserve"> BEA’s </w:t>
      </w:r>
      <w:r w:rsidR="00A7309D">
        <w:rPr>
          <w:rFonts w:ascii="Arial" w:hAnsi="Arial" w:cs="Arial"/>
        </w:rPr>
        <w:t>initial</w:t>
      </w:r>
      <w:r w:rsidRPr="00D15F95">
        <w:rPr>
          <w:rFonts w:ascii="Arial" w:hAnsi="Arial" w:cs="Arial"/>
        </w:rPr>
        <w:t xml:space="preserve"> GDP report are scheduled for </w:t>
      </w:r>
      <w:r w:rsidR="005C5A72" w:rsidRPr="00D15F95">
        <w:rPr>
          <w:rFonts w:ascii="Arial" w:hAnsi="Arial" w:cs="Arial"/>
        </w:rPr>
        <w:t>August 30</w:t>
      </w:r>
      <w:r w:rsidRPr="00D15F95">
        <w:rPr>
          <w:rFonts w:ascii="Arial" w:hAnsi="Arial" w:cs="Arial"/>
        </w:rPr>
        <w:t xml:space="preserve"> and </w:t>
      </w:r>
      <w:r w:rsidR="005C5A72" w:rsidRPr="00D15F95">
        <w:rPr>
          <w:rFonts w:ascii="Arial" w:hAnsi="Arial" w:cs="Arial"/>
        </w:rPr>
        <w:t>September 28</w:t>
      </w:r>
      <w:r w:rsidRPr="00D15F95">
        <w:rPr>
          <w:rFonts w:ascii="Arial" w:hAnsi="Arial" w:cs="Arial"/>
        </w:rPr>
        <w:t>.</w:t>
      </w:r>
      <w:r w:rsidR="00281DFF" w:rsidRPr="00D15F95">
        <w:rPr>
          <w:rFonts w:ascii="Arial" w:hAnsi="Arial" w:cs="Arial"/>
        </w:rPr>
        <w:t xml:space="preserve"> The </w:t>
      </w:r>
      <w:r w:rsidR="005C5A72" w:rsidRPr="00D15F95">
        <w:rPr>
          <w:rFonts w:ascii="Arial" w:hAnsi="Arial" w:cs="Arial"/>
        </w:rPr>
        <w:t>third</w:t>
      </w:r>
      <w:r w:rsidR="00281DFF" w:rsidRPr="00D15F95">
        <w:rPr>
          <w:rFonts w:ascii="Arial" w:hAnsi="Arial" w:cs="Arial"/>
        </w:rPr>
        <w:t xml:space="preserve"> quarter GDP report is scheduled for </w:t>
      </w:r>
      <w:r w:rsidR="005C5A72" w:rsidRPr="00D15F95">
        <w:rPr>
          <w:rFonts w:ascii="Arial" w:hAnsi="Arial" w:cs="Arial"/>
        </w:rPr>
        <w:t>October 27</w:t>
      </w:r>
      <w:r w:rsidR="00424D96" w:rsidRPr="00D15F95">
        <w:rPr>
          <w:rFonts w:ascii="Arial" w:hAnsi="Arial" w:cs="Arial"/>
        </w:rPr>
        <w:t xml:space="preserve"> </w:t>
      </w:r>
      <w:r w:rsidR="00281DFF" w:rsidRPr="00D15F95">
        <w:rPr>
          <w:rFonts w:ascii="Arial" w:hAnsi="Arial" w:cs="Arial"/>
        </w:rPr>
        <w:t>at 8:30am.</w:t>
      </w:r>
    </w:p>
    <w:p w14:paraId="7BF1CE89" w14:textId="77777777" w:rsidR="008D0DDF" w:rsidRPr="00EF50E9" w:rsidRDefault="008D0DDF" w:rsidP="008D0DDF">
      <w:pPr>
        <w:spacing w:after="0"/>
        <w:jc w:val="both"/>
        <w:rPr>
          <w:rFonts w:ascii="Arial" w:hAnsi="Arial" w:cs="Arial"/>
          <w:sz w:val="20"/>
        </w:rPr>
      </w:pPr>
    </w:p>
    <w:p w14:paraId="1F8E3CA7" w14:textId="0877720B" w:rsidR="008D0DDF" w:rsidRPr="0010292B" w:rsidRDefault="00A7309D" w:rsidP="00624E62">
      <w:pPr>
        <w:rPr>
          <w:rFonts w:ascii="Arial" w:hAnsi="Arial" w:cs="Arial"/>
          <w:szCs w:val="24"/>
        </w:rPr>
      </w:pPr>
      <w:r>
        <w:rPr>
          <w:noProof/>
        </w:rPr>
        <w:lastRenderedPageBreak/>
        <w:drawing>
          <wp:inline distT="0" distB="0" distL="0" distR="0" wp14:anchorId="695EBAA1" wp14:editId="1E89D698">
            <wp:extent cx="6858000" cy="2268220"/>
            <wp:effectExtent l="0" t="0" r="0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5160"/>
        <w:gridCol w:w="1880"/>
        <w:gridCol w:w="1880"/>
        <w:gridCol w:w="1880"/>
      </w:tblGrid>
      <w:tr w:rsidR="00E401AC" w:rsidRPr="00E401AC" w14:paraId="4CDC96F7" w14:textId="77777777" w:rsidTr="00E401AC">
        <w:trPr>
          <w:trHeight w:val="3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FF872E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1AC">
              <w:rPr>
                <w:rFonts w:ascii="Arial" w:eastAsia="Times New Roman" w:hAnsi="Arial" w:cs="Arial"/>
                <w:b/>
                <w:bCs/>
                <w:color w:val="000000"/>
              </w:rPr>
              <w:t>Second Quarter Economic Indicators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1CD60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1AC">
              <w:rPr>
                <w:rFonts w:ascii="Arial" w:eastAsia="Times New Roman" w:hAnsi="Arial" w:cs="Arial"/>
                <w:b/>
                <w:bCs/>
                <w:color w:val="000000"/>
              </w:rPr>
              <w:t>Apr-17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609CC4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1AC">
              <w:rPr>
                <w:rFonts w:ascii="Arial" w:eastAsia="Times New Roman" w:hAnsi="Arial" w:cs="Arial"/>
                <w:b/>
                <w:bCs/>
                <w:color w:val="000000"/>
              </w:rPr>
              <w:t>May-17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A37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1AC">
              <w:rPr>
                <w:rFonts w:ascii="Arial" w:eastAsia="Times New Roman" w:hAnsi="Arial" w:cs="Arial"/>
                <w:b/>
                <w:bCs/>
                <w:color w:val="000000"/>
              </w:rPr>
              <w:t>Jun-17</w:t>
            </w:r>
          </w:p>
        </w:tc>
      </w:tr>
      <w:tr w:rsidR="00E401AC" w:rsidRPr="00E401AC" w14:paraId="110E9F07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986CA7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ISM Manufacturing Index (&gt;50, expansion)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8D243B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54.8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B38B94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54.9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AFE83AE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57.8</w:t>
            </w:r>
          </w:p>
        </w:tc>
      </w:tr>
      <w:tr w:rsidR="00E401AC" w:rsidRPr="00E401AC" w14:paraId="11978283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89E9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ISM Non-Manufacturing Index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C97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57.5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AE5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56.9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4517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57.4</w:t>
            </w:r>
          </w:p>
        </w:tc>
      </w:tr>
      <w:tr w:rsidR="00E401AC" w:rsidRPr="00E401AC" w14:paraId="367BD304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769881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U.S. Trade Balance (millions)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C5808D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401AC">
              <w:rPr>
                <w:rFonts w:ascii="Arial" w:eastAsia="Times New Roman" w:hAnsi="Arial" w:cs="Arial"/>
              </w:rPr>
              <w:t>-47,585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FE18C71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401AC">
              <w:rPr>
                <w:rFonts w:ascii="Arial" w:eastAsia="Times New Roman" w:hAnsi="Arial" w:cs="Arial"/>
              </w:rPr>
              <w:t>-46,507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AD5C88E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401AC">
              <w:rPr>
                <w:rFonts w:ascii="Arial" w:eastAsia="Times New Roman" w:hAnsi="Arial" w:cs="Arial"/>
              </w:rPr>
              <w:t>#N/A</w:t>
            </w:r>
          </w:p>
        </w:tc>
      </w:tr>
      <w:tr w:rsidR="00E401AC" w:rsidRPr="00E401AC" w14:paraId="7E18EEF0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1BB7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Retail Sales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1E77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0.3%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CAE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-0.1%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AEB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-0.2%</w:t>
            </w:r>
          </w:p>
        </w:tc>
      </w:tr>
      <w:tr w:rsidR="00E401AC" w:rsidRPr="00E401AC" w14:paraId="564C3088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9357AA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Business Inventory-to-Sales Ratio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96CC95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1.37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332FF9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1.38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C40DA5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#N/A</w:t>
            </w:r>
          </w:p>
        </w:tc>
      </w:tr>
      <w:tr w:rsidR="00E401AC" w:rsidRPr="00E401AC" w14:paraId="23B96296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B716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Housing Starts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8D20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-2.9%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F10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-2.8%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4BDE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8.3%</w:t>
            </w:r>
          </w:p>
        </w:tc>
      </w:tr>
      <w:tr w:rsidR="00E401AC" w:rsidRPr="00E401AC" w14:paraId="13BF135E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07CD4A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Durable Goods Orders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5B5D96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-0.8%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2204D5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-0.1%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2021D7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6.5%</w:t>
            </w:r>
          </w:p>
        </w:tc>
      </w:tr>
      <w:tr w:rsidR="00E401AC" w:rsidRPr="00E401AC" w14:paraId="3E43EE86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3F5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Personal Income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5A6F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0.3%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124A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0.4%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830A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#N/A</w:t>
            </w:r>
          </w:p>
        </w:tc>
      </w:tr>
      <w:tr w:rsidR="00E401AC" w:rsidRPr="00E401AC" w14:paraId="37BB6533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2266FE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Personal Outlays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D5EFB8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0.4%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5A50B1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0.1%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2D6710A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0.4%</w:t>
            </w:r>
          </w:p>
        </w:tc>
      </w:tr>
      <w:tr w:rsidR="00E401AC" w:rsidRPr="00E401AC" w14:paraId="25911D7D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23D4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Nonfarm Payroll Job Growth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4EBC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 xml:space="preserve">207,000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7084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 xml:space="preserve">152,000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5948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 xml:space="preserve">222,000 </w:t>
            </w:r>
          </w:p>
        </w:tc>
      </w:tr>
      <w:tr w:rsidR="00E401AC" w:rsidRPr="00E401AC" w14:paraId="5F8AB340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25017A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Private Payroll Job Growth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B68095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 xml:space="preserve">194,000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6FB71C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 xml:space="preserve">159,000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9D084FD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 xml:space="preserve">187,000 </w:t>
            </w:r>
          </w:p>
        </w:tc>
      </w:tr>
      <w:tr w:rsidR="00E401AC" w:rsidRPr="00E401AC" w14:paraId="5C41635E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A2E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PCE Inflation (12-month change)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C12F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1.7%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062F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1.4%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84F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#N/A</w:t>
            </w:r>
          </w:p>
        </w:tc>
      </w:tr>
      <w:tr w:rsidR="00E401AC" w:rsidRPr="00E401AC" w14:paraId="62EB0C5E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8DF0BA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Core PCE Inflation (12-month change)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58F8C6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1.5%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4C784D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1.4%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B020E7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#N/A</w:t>
            </w:r>
          </w:p>
        </w:tc>
      </w:tr>
      <w:tr w:rsidR="00E401AC" w:rsidRPr="00E401AC" w14:paraId="6FDE1BB7" w14:textId="77777777" w:rsidTr="00E401AC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52CE" w14:textId="77777777" w:rsidR="00E401AC" w:rsidRPr="00E401AC" w:rsidRDefault="00E401AC" w:rsidP="00E401A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Consumer Confidence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8ED1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119.4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AA3A5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117.6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C1DE" w14:textId="77777777" w:rsidR="00E401AC" w:rsidRPr="00E401AC" w:rsidRDefault="00E401AC" w:rsidP="00E40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01AC">
              <w:rPr>
                <w:rFonts w:ascii="Arial" w:eastAsia="Times New Roman" w:hAnsi="Arial" w:cs="Arial"/>
                <w:color w:val="000000"/>
              </w:rPr>
              <w:t>117.3</w:t>
            </w:r>
          </w:p>
        </w:tc>
      </w:tr>
    </w:tbl>
    <w:p w14:paraId="432333BB" w14:textId="77777777" w:rsidR="006310C1" w:rsidRPr="00EF50E9" w:rsidRDefault="006310C1" w:rsidP="006C0304">
      <w:pPr>
        <w:spacing w:after="0"/>
        <w:rPr>
          <w:rFonts w:ascii="Arial" w:hAnsi="Arial" w:cs="Arial"/>
          <w:sz w:val="20"/>
        </w:rPr>
      </w:pPr>
    </w:p>
    <w:p w14:paraId="68EA985A" w14:textId="77777777" w:rsidR="00EF50E9" w:rsidRPr="000A713C" w:rsidRDefault="00EF50E9" w:rsidP="00C8486B">
      <w:pPr>
        <w:spacing w:after="0"/>
        <w:jc w:val="both"/>
        <w:rPr>
          <w:rFonts w:ascii="Arial" w:hAnsi="Arial" w:cs="Arial"/>
          <w:b/>
        </w:rPr>
      </w:pPr>
      <w:r w:rsidRPr="000A713C">
        <w:rPr>
          <w:rFonts w:ascii="Arial" w:hAnsi="Arial" w:cs="Arial"/>
          <w:b/>
        </w:rPr>
        <w:t>Context</w:t>
      </w:r>
    </w:p>
    <w:p w14:paraId="42179A86" w14:textId="4083156F" w:rsidR="00C8486B" w:rsidRPr="00C8486B" w:rsidRDefault="004C441A" w:rsidP="00C8486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C8486B" w:rsidRPr="00C8486B">
        <w:rPr>
          <w:rFonts w:ascii="Arial" w:hAnsi="Arial" w:cs="Arial"/>
          <w:szCs w:val="24"/>
        </w:rPr>
        <w:t xml:space="preserve">he </w:t>
      </w:r>
      <w:r w:rsidR="00A7309D">
        <w:rPr>
          <w:rFonts w:ascii="Arial" w:hAnsi="Arial" w:cs="Arial"/>
          <w:szCs w:val="24"/>
        </w:rPr>
        <w:t>initial</w:t>
      </w:r>
      <w:r w:rsidR="00C8486B" w:rsidRPr="00C8486B">
        <w:rPr>
          <w:rFonts w:ascii="Arial" w:hAnsi="Arial" w:cs="Arial"/>
          <w:szCs w:val="24"/>
        </w:rPr>
        <w:t xml:space="preserve"> estimate of Q2 2.6% RGDP growth came in slightly below expectations, </w:t>
      </w:r>
      <w:r>
        <w:rPr>
          <w:rFonts w:ascii="Arial" w:hAnsi="Arial" w:cs="Arial"/>
          <w:szCs w:val="24"/>
        </w:rPr>
        <w:t>but is</w:t>
      </w:r>
      <w:r w:rsidR="00C8486B" w:rsidRPr="00C8486B">
        <w:rPr>
          <w:rFonts w:ascii="Arial" w:hAnsi="Arial" w:cs="Arial"/>
          <w:szCs w:val="24"/>
        </w:rPr>
        <w:t xml:space="preserve"> an improvement over </w:t>
      </w:r>
      <w:r w:rsidR="00EF513B">
        <w:rPr>
          <w:rFonts w:ascii="Arial" w:hAnsi="Arial" w:cs="Arial"/>
          <w:szCs w:val="24"/>
        </w:rPr>
        <w:t>the previous quarter’</w:t>
      </w:r>
      <w:r w:rsidR="00C8486B" w:rsidRPr="00C8486B">
        <w:rPr>
          <w:rFonts w:ascii="Arial" w:hAnsi="Arial" w:cs="Arial"/>
          <w:szCs w:val="24"/>
        </w:rPr>
        <w:t xml:space="preserve">s 1.2% </w:t>
      </w:r>
      <w:r>
        <w:rPr>
          <w:rFonts w:ascii="Arial" w:hAnsi="Arial" w:cs="Arial"/>
          <w:szCs w:val="24"/>
        </w:rPr>
        <w:t xml:space="preserve">(its first estimate was </w:t>
      </w:r>
      <w:r w:rsidR="00C8486B" w:rsidRPr="00C8486B">
        <w:rPr>
          <w:rFonts w:ascii="Arial" w:hAnsi="Arial" w:cs="Arial"/>
          <w:szCs w:val="24"/>
        </w:rPr>
        <w:t>0.7%</w:t>
      </w:r>
      <w:r>
        <w:rPr>
          <w:rFonts w:ascii="Arial" w:hAnsi="Arial" w:cs="Arial"/>
          <w:szCs w:val="24"/>
        </w:rPr>
        <w:t>)</w:t>
      </w:r>
      <w:r w:rsidR="00AF5AEE">
        <w:rPr>
          <w:rFonts w:ascii="Arial" w:hAnsi="Arial" w:cs="Arial"/>
          <w:szCs w:val="24"/>
        </w:rPr>
        <w:t>.</w:t>
      </w:r>
    </w:p>
    <w:p w14:paraId="0DD0C095" w14:textId="32B5C664" w:rsidR="00C8486B" w:rsidRDefault="00041C44" w:rsidP="00C8486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part that has been </w:t>
      </w:r>
      <w:hyperlink r:id="rId12" w:history="1">
        <w:r w:rsidRPr="00041C44">
          <w:rPr>
            <w:rStyle w:val="Hyperlink"/>
            <w:rFonts w:ascii="Arial" w:hAnsi="Arial" w:cs="Arial"/>
            <w:szCs w:val="24"/>
          </w:rPr>
          <w:t>missing from the economic recovery is business investment</w:t>
        </w:r>
      </w:hyperlink>
      <w:r w:rsidR="00D8068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D8068E">
        <w:rPr>
          <w:rFonts w:ascii="Arial" w:hAnsi="Arial" w:cs="Arial"/>
          <w:szCs w:val="24"/>
        </w:rPr>
        <w:t>In the last two quarters, b</w:t>
      </w:r>
      <w:r>
        <w:rPr>
          <w:rFonts w:ascii="Arial" w:hAnsi="Arial" w:cs="Arial"/>
          <w:szCs w:val="24"/>
        </w:rPr>
        <w:t xml:space="preserve">usiness investment in structures and equipment </w:t>
      </w:r>
      <w:r w:rsidR="00D8068E">
        <w:rPr>
          <w:rFonts w:ascii="Arial" w:hAnsi="Arial" w:cs="Arial"/>
          <w:szCs w:val="24"/>
        </w:rPr>
        <w:t>made their</w:t>
      </w:r>
      <w:r>
        <w:rPr>
          <w:rFonts w:ascii="Arial" w:hAnsi="Arial" w:cs="Arial"/>
          <w:szCs w:val="24"/>
        </w:rPr>
        <w:t xml:space="preserve"> large</w:t>
      </w:r>
      <w:r w:rsidR="00D8068E">
        <w:rPr>
          <w:rFonts w:ascii="Arial" w:hAnsi="Arial" w:cs="Arial"/>
          <w:szCs w:val="24"/>
        </w:rPr>
        <w:t>st</w:t>
      </w:r>
      <w:r>
        <w:rPr>
          <w:rFonts w:ascii="Arial" w:hAnsi="Arial" w:cs="Arial"/>
          <w:szCs w:val="24"/>
        </w:rPr>
        <w:t xml:space="preserve"> contributions to RGDP growth since 2014.</w:t>
      </w:r>
    </w:p>
    <w:p w14:paraId="53253BB8" w14:textId="44FE7F59" w:rsidR="00C8486B" w:rsidRDefault="00C8486B" w:rsidP="00D15F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Noteworthy</w:t>
      </w:r>
    </w:p>
    <w:p w14:paraId="69ECB617" w14:textId="0C432B15" w:rsidR="00DE3759" w:rsidRPr="00D15F95" w:rsidRDefault="0032351E" w:rsidP="00C8486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BEA conducted its annual </w:t>
      </w:r>
      <w:hyperlink r:id="rId13" w:history="1">
        <w:r w:rsidRPr="00D15F95">
          <w:rPr>
            <w:rStyle w:val="Hyperlink"/>
            <w:rFonts w:ascii="Arial" w:hAnsi="Arial" w:cs="Arial"/>
            <w:szCs w:val="24"/>
          </w:rPr>
          <w:t>comprehensive updates</w:t>
        </w:r>
      </w:hyperlink>
      <w:r>
        <w:rPr>
          <w:rFonts w:ascii="Arial" w:hAnsi="Arial" w:cs="Arial"/>
          <w:szCs w:val="24"/>
        </w:rPr>
        <w:t xml:space="preserve"> to its </w:t>
      </w:r>
      <w:r w:rsidR="00D15F95">
        <w:rPr>
          <w:rFonts w:ascii="Arial" w:hAnsi="Arial" w:cs="Arial"/>
          <w:szCs w:val="24"/>
        </w:rPr>
        <w:t xml:space="preserve">2014-2016 </w:t>
      </w:r>
      <w:r>
        <w:rPr>
          <w:rFonts w:ascii="Arial" w:hAnsi="Arial" w:cs="Arial"/>
          <w:szCs w:val="24"/>
        </w:rPr>
        <w:t xml:space="preserve">National Income and Product Accounts </w:t>
      </w:r>
      <w:r w:rsidR="00A7309D">
        <w:rPr>
          <w:rFonts w:ascii="Arial" w:hAnsi="Arial" w:cs="Arial"/>
          <w:szCs w:val="24"/>
        </w:rPr>
        <w:t>on</w:t>
      </w:r>
      <w:r>
        <w:rPr>
          <w:rFonts w:ascii="Arial" w:hAnsi="Arial" w:cs="Arial"/>
          <w:szCs w:val="24"/>
        </w:rPr>
        <w:t xml:space="preserve"> which GDP estimates are </w:t>
      </w:r>
      <w:r w:rsidR="00A7309D">
        <w:rPr>
          <w:rFonts w:ascii="Arial" w:hAnsi="Arial" w:cs="Arial"/>
          <w:szCs w:val="24"/>
        </w:rPr>
        <w:t>based</w:t>
      </w:r>
      <w:r>
        <w:rPr>
          <w:rFonts w:ascii="Arial" w:hAnsi="Arial" w:cs="Arial"/>
          <w:szCs w:val="24"/>
        </w:rPr>
        <w:t xml:space="preserve">. These updates reflected the use of </w:t>
      </w:r>
      <w:r w:rsidR="00D15F95">
        <w:rPr>
          <w:rFonts w:ascii="Arial" w:hAnsi="Arial" w:cs="Arial"/>
          <w:szCs w:val="24"/>
        </w:rPr>
        <w:t>new and revised source data and methodology improvements. As a result, RGDP growth for 2014 was revised up from 2.4 to 2.6% (mostly due to greater investment growth). For 2015, it was revised up from 2.6 to 2.9% (mostly due to greater consumer spending growth). For 2016, it was revised down from 1.6 to 1.5% (mostly attributable to reduced export growth).</w:t>
      </w:r>
    </w:p>
    <w:sectPr w:rsidR="00DE3759" w:rsidRPr="00D15F95" w:rsidSect="00FC370D">
      <w:footnotePr>
        <w:numFmt w:val="chicago"/>
      </w:footnotePr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341CB" w14:textId="77777777" w:rsidR="00E143B9" w:rsidRDefault="00E143B9" w:rsidP="00E143B9">
      <w:pPr>
        <w:spacing w:after="0" w:line="240" w:lineRule="auto"/>
      </w:pPr>
      <w:r>
        <w:separator/>
      </w:r>
    </w:p>
  </w:endnote>
  <w:endnote w:type="continuationSeparator" w:id="0">
    <w:p w14:paraId="5D8081E9" w14:textId="77777777" w:rsidR="00E143B9" w:rsidRDefault="00E143B9" w:rsidP="00E143B9">
      <w:pPr>
        <w:spacing w:after="0" w:line="240" w:lineRule="auto"/>
      </w:pPr>
      <w:r>
        <w:continuationSeparator/>
      </w:r>
    </w:p>
  </w:endnote>
  <w:endnote w:id="1">
    <w:p w14:paraId="66B946E4" w14:textId="3608E991" w:rsidR="00E173F8" w:rsidRPr="00E143B9" w:rsidRDefault="00E173F8">
      <w:pPr>
        <w:pStyle w:val="EndnoteText"/>
        <w:rPr>
          <w:rFonts w:ascii="Arial" w:hAnsi="Arial" w:cs="Arial"/>
          <w:sz w:val="16"/>
          <w:szCs w:val="16"/>
        </w:rPr>
      </w:pPr>
      <w:r w:rsidRPr="00B17B81">
        <w:rPr>
          <w:rStyle w:val="EndnoteReference"/>
          <w:rFonts w:ascii="Arial" w:hAnsi="Arial" w:cs="Arial"/>
          <w:sz w:val="18"/>
          <w:szCs w:val="16"/>
        </w:rPr>
        <w:endnoteRef/>
      </w:r>
      <w:r w:rsidRPr="00B17B81">
        <w:rPr>
          <w:rFonts w:ascii="Arial" w:hAnsi="Arial" w:cs="Arial"/>
          <w:sz w:val="18"/>
          <w:szCs w:val="16"/>
        </w:rPr>
        <w:t xml:space="preserve"> Quarterly numbers are reported here at annual rates unless stated otherwise. An annual rate for a quarter means BEA calculated the change from the previous quarter as if it occurred throughout a year.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611A5" w14:textId="77777777" w:rsidR="00E143B9" w:rsidRDefault="00E143B9" w:rsidP="00E143B9">
      <w:pPr>
        <w:spacing w:after="0" w:line="240" w:lineRule="auto"/>
      </w:pPr>
      <w:r>
        <w:separator/>
      </w:r>
    </w:p>
  </w:footnote>
  <w:footnote w:type="continuationSeparator" w:id="0">
    <w:p w14:paraId="5CEC27CE" w14:textId="77777777" w:rsidR="00E143B9" w:rsidRDefault="00E143B9" w:rsidP="00E1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12C"/>
    <w:multiLevelType w:val="hybridMultilevel"/>
    <w:tmpl w:val="BA8656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83B8A"/>
    <w:multiLevelType w:val="hybridMultilevel"/>
    <w:tmpl w:val="B5C2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869FD"/>
    <w:multiLevelType w:val="hybridMultilevel"/>
    <w:tmpl w:val="AD541B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2512E"/>
    <w:multiLevelType w:val="hybridMultilevel"/>
    <w:tmpl w:val="16F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72778"/>
    <w:multiLevelType w:val="hybridMultilevel"/>
    <w:tmpl w:val="DC8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7C5F"/>
    <w:multiLevelType w:val="hybridMultilevel"/>
    <w:tmpl w:val="5E28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04"/>
    <w:rsid w:val="00012D74"/>
    <w:rsid w:val="00023938"/>
    <w:rsid w:val="00036801"/>
    <w:rsid w:val="00041C44"/>
    <w:rsid w:val="000423DD"/>
    <w:rsid w:val="00050FC0"/>
    <w:rsid w:val="00076BCE"/>
    <w:rsid w:val="00083F95"/>
    <w:rsid w:val="00087F0D"/>
    <w:rsid w:val="000930AD"/>
    <w:rsid w:val="00093B0D"/>
    <w:rsid w:val="000A58A1"/>
    <w:rsid w:val="000A713C"/>
    <w:rsid w:val="000D21C5"/>
    <w:rsid w:val="000D24AB"/>
    <w:rsid w:val="000E1E7B"/>
    <w:rsid w:val="000E220B"/>
    <w:rsid w:val="000E4AC3"/>
    <w:rsid w:val="0010292B"/>
    <w:rsid w:val="00112467"/>
    <w:rsid w:val="00121327"/>
    <w:rsid w:val="00124D2D"/>
    <w:rsid w:val="001301AC"/>
    <w:rsid w:val="0013295A"/>
    <w:rsid w:val="00132E42"/>
    <w:rsid w:val="00163ECB"/>
    <w:rsid w:val="00165BFC"/>
    <w:rsid w:val="00187FDC"/>
    <w:rsid w:val="001B0CD0"/>
    <w:rsid w:val="001C099E"/>
    <w:rsid w:val="001C21C0"/>
    <w:rsid w:val="0020669C"/>
    <w:rsid w:val="00246FF9"/>
    <w:rsid w:val="00281DFF"/>
    <w:rsid w:val="00296898"/>
    <w:rsid w:val="002A3011"/>
    <w:rsid w:val="002C59CD"/>
    <w:rsid w:val="002D7803"/>
    <w:rsid w:val="002E3A62"/>
    <w:rsid w:val="002F268D"/>
    <w:rsid w:val="002F6C26"/>
    <w:rsid w:val="00314C96"/>
    <w:rsid w:val="0032351E"/>
    <w:rsid w:val="00326DC1"/>
    <w:rsid w:val="00343C20"/>
    <w:rsid w:val="00372698"/>
    <w:rsid w:val="00392E0D"/>
    <w:rsid w:val="003B5EAA"/>
    <w:rsid w:val="003C0708"/>
    <w:rsid w:val="003C212B"/>
    <w:rsid w:val="003D2EF0"/>
    <w:rsid w:val="0041586E"/>
    <w:rsid w:val="004219B1"/>
    <w:rsid w:val="0042237F"/>
    <w:rsid w:val="00424D96"/>
    <w:rsid w:val="0043673D"/>
    <w:rsid w:val="00450683"/>
    <w:rsid w:val="00452329"/>
    <w:rsid w:val="00455347"/>
    <w:rsid w:val="00461EA6"/>
    <w:rsid w:val="00470851"/>
    <w:rsid w:val="004B1423"/>
    <w:rsid w:val="004C11E0"/>
    <w:rsid w:val="004C13DC"/>
    <w:rsid w:val="004C441A"/>
    <w:rsid w:val="004D707D"/>
    <w:rsid w:val="00515838"/>
    <w:rsid w:val="00534A81"/>
    <w:rsid w:val="00546D30"/>
    <w:rsid w:val="00575239"/>
    <w:rsid w:val="00590C45"/>
    <w:rsid w:val="005B23D3"/>
    <w:rsid w:val="005B4A00"/>
    <w:rsid w:val="005C5A72"/>
    <w:rsid w:val="005D6F38"/>
    <w:rsid w:val="005D76FE"/>
    <w:rsid w:val="005F02B0"/>
    <w:rsid w:val="0060536F"/>
    <w:rsid w:val="00607E2D"/>
    <w:rsid w:val="00624CC4"/>
    <w:rsid w:val="00624E62"/>
    <w:rsid w:val="006263C9"/>
    <w:rsid w:val="006310C1"/>
    <w:rsid w:val="00640C51"/>
    <w:rsid w:val="006704CA"/>
    <w:rsid w:val="0068028C"/>
    <w:rsid w:val="006C0304"/>
    <w:rsid w:val="006C216B"/>
    <w:rsid w:val="006C5798"/>
    <w:rsid w:val="006D4097"/>
    <w:rsid w:val="006D594C"/>
    <w:rsid w:val="006F249E"/>
    <w:rsid w:val="00716DD0"/>
    <w:rsid w:val="0072430D"/>
    <w:rsid w:val="00730D6B"/>
    <w:rsid w:val="007474A2"/>
    <w:rsid w:val="007651F5"/>
    <w:rsid w:val="00774C85"/>
    <w:rsid w:val="00791F93"/>
    <w:rsid w:val="007B7168"/>
    <w:rsid w:val="007E13C4"/>
    <w:rsid w:val="007E67AB"/>
    <w:rsid w:val="007F2AF0"/>
    <w:rsid w:val="007F7D1E"/>
    <w:rsid w:val="00862C80"/>
    <w:rsid w:val="008A78A4"/>
    <w:rsid w:val="008B4089"/>
    <w:rsid w:val="008B53A8"/>
    <w:rsid w:val="008D0DDF"/>
    <w:rsid w:val="008E24EE"/>
    <w:rsid w:val="00945904"/>
    <w:rsid w:val="009578FF"/>
    <w:rsid w:val="00993D12"/>
    <w:rsid w:val="00A35392"/>
    <w:rsid w:val="00A535D3"/>
    <w:rsid w:val="00A71303"/>
    <w:rsid w:val="00A71611"/>
    <w:rsid w:val="00A7309D"/>
    <w:rsid w:val="00A97F4C"/>
    <w:rsid w:val="00AF5AEE"/>
    <w:rsid w:val="00B012C2"/>
    <w:rsid w:val="00B04362"/>
    <w:rsid w:val="00B17B81"/>
    <w:rsid w:val="00B345DC"/>
    <w:rsid w:val="00B53255"/>
    <w:rsid w:val="00BA644A"/>
    <w:rsid w:val="00BB0230"/>
    <w:rsid w:val="00BB5177"/>
    <w:rsid w:val="00BB6E01"/>
    <w:rsid w:val="00BC5026"/>
    <w:rsid w:val="00C06BC8"/>
    <w:rsid w:val="00C42946"/>
    <w:rsid w:val="00C67AB4"/>
    <w:rsid w:val="00C715D2"/>
    <w:rsid w:val="00C8486B"/>
    <w:rsid w:val="00C90BEB"/>
    <w:rsid w:val="00CA1859"/>
    <w:rsid w:val="00CE2BD6"/>
    <w:rsid w:val="00CF0B4B"/>
    <w:rsid w:val="00D03C76"/>
    <w:rsid w:val="00D15F95"/>
    <w:rsid w:val="00D26904"/>
    <w:rsid w:val="00D8068E"/>
    <w:rsid w:val="00DC7E91"/>
    <w:rsid w:val="00DE3759"/>
    <w:rsid w:val="00DF7018"/>
    <w:rsid w:val="00E009A4"/>
    <w:rsid w:val="00E143B9"/>
    <w:rsid w:val="00E173F8"/>
    <w:rsid w:val="00E401AC"/>
    <w:rsid w:val="00E51603"/>
    <w:rsid w:val="00E54A76"/>
    <w:rsid w:val="00E83847"/>
    <w:rsid w:val="00EA0647"/>
    <w:rsid w:val="00EF0CC2"/>
    <w:rsid w:val="00EF130F"/>
    <w:rsid w:val="00EF50E9"/>
    <w:rsid w:val="00EF513B"/>
    <w:rsid w:val="00F7333C"/>
    <w:rsid w:val="00F95F70"/>
    <w:rsid w:val="00FC370D"/>
    <w:rsid w:val="00FF419B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7D85"/>
  <w15:chartTrackingRefBased/>
  <w15:docId w15:val="{58D8E4E6-D8D5-40BB-85F0-78A1F118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3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304"/>
    <w:pPr>
      <w:ind w:left="720"/>
      <w:contextualSpacing/>
    </w:pPr>
  </w:style>
  <w:style w:type="table" w:styleId="PlainTable4">
    <w:name w:val="Plain Table 4"/>
    <w:basedOn w:val="TableNormal"/>
    <w:uiPriority w:val="44"/>
    <w:rsid w:val="006C03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03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1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D1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1E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43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3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3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3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3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ea.gov/national/pdf/2017-NIPA-AnnualUpdate-Resul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ec.senate.gov/public/index.cfm/republicans/2017/2/weekly-economic-update-february-13-february-17-2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bea.gov/newsreleases/national/gdp/2017/pdf/gdp2q17_adv.pdf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jecr\Alex_Schibuola\Documents\0Projects\GDP%20Reviews\GDP%20Review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jecr\Alex_Schibuola\Documents\0Projects\GDP%20Reviews\GDP%20Review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35165065369689E-2"/>
          <c:y val="0.19898282596996003"/>
          <c:w val="0.93230812770648197"/>
          <c:h val="0.68343372716953876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002060"/>
            </a:solidFill>
            <a:ln w="19050">
              <a:solidFill>
                <a:srgbClr val="002060"/>
              </a:solidFill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'(1) Figure 1'!$O$277:$O$288</c:f>
              <c:strCache>
                <c:ptCount val="12"/>
                <c:pt idx="0">
                  <c:v>Q3</c:v>
                </c:pt>
                <c:pt idx="1">
                  <c:v>Q4</c:v>
                </c:pt>
                <c:pt idx="2">
                  <c:v>Q1</c:v>
                </c:pt>
                <c:pt idx="3">
                  <c:v>Q2</c:v>
                </c:pt>
                <c:pt idx="4">
                  <c:v>Q3</c:v>
                </c:pt>
                <c:pt idx="5">
                  <c:v>Q4</c:v>
                </c:pt>
                <c:pt idx="6">
                  <c:v>Q1</c:v>
                </c:pt>
                <c:pt idx="7">
                  <c:v>Q2</c:v>
                </c:pt>
                <c:pt idx="8">
                  <c:v>Q3</c:v>
                </c:pt>
                <c:pt idx="9">
                  <c:v>Q4</c:v>
                </c:pt>
                <c:pt idx="10">
                  <c:v>Q1</c:v>
                </c:pt>
                <c:pt idx="11">
                  <c:v>Q2</c:v>
                </c:pt>
              </c:strCache>
            </c:strRef>
          </c:cat>
          <c:val>
            <c:numRef>
              <c:f>'(1) Figure 1'!$R$277:$R$288</c:f>
              <c:numCache>
                <c:formatCode>0.0%</c:formatCode>
                <c:ptCount val="12"/>
                <c:pt idx="0">
                  <c:v>5.2118900754511976E-2</c:v>
                </c:pt>
                <c:pt idx="1">
                  <c:v>2.0151129563541925E-2</c:v>
                </c:pt>
                <c:pt idx="2">
                  <c:v>3.2395750898977616E-2</c:v>
                </c:pt>
                <c:pt idx="3">
                  <c:v>2.7408793165487388E-2</c:v>
                </c:pt>
                <c:pt idx="4">
                  <c:v>1.630688516039136E-2</c:v>
                </c:pt>
                <c:pt idx="5">
                  <c:v>4.849181298446581E-3</c:v>
                </c:pt>
                <c:pt idx="6">
                  <c:v>5.8140790237137807E-3</c:v>
                </c:pt>
                <c:pt idx="7">
                  <c:v>2.2367736519139925E-2</c:v>
                </c:pt>
                <c:pt idx="8">
                  <c:v>2.7794314187279845E-2</c:v>
                </c:pt>
                <c:pt idx="9">
                  <c:v>1.7590012944465938E-2</c:v>
                </c:pt>
                <c:pt idx="10">
                  <c:v>1.2352524795941511E-2</c:v>
                </c:pt>
                <c:pt idx="11">
                  <c:v>2.5682678635183365E-2</c:v>
                </c:pt>
              </c:numCache>
            </c:numRef>
          </c:val>
        </c:ser>
        <c:ser>
          <c:idx val="1"/>
          <c:order val="1"/>
          <c:spPr>
            <a:noFill/>
            <a:ln w="19050">
              <a:solidFill>
                <a:srgbClr val="00B0F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00B0F0"/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'(1) Figure 1'!$O$277:$O$288</c:f>
              <c:strCache>
                <c:ptCount val="12"/>
                <c:pt idx="0">
                  <c:v>Q3</c:v>
                </c:pt>
                <c:pt idx="1">
                  <c:v>Q4</c:v>
                </c:pt>
                <c:pt idx="2">
                  <c:v>Q1</c:v>
                </c:pt>
                <c:pt idx="3">
                  <c:v>Q2</c:v>
                </c:pt>
                <c:pt idx="4">
                  <c:v>Q3</c:v>
                </c:pt>
                <c:pt idx="5">
                  <c:v>Q4</c:v>
                </c:pt>
                <c:pt idx="6">
                  <c:v>Q1</c:v>
                </c:pt>
                <c:pt idx="7">
                  <c:v>Q2</c:v>
                </c:pt>
                <c:pt idx="8">
                  <c:v>Q3</c:v>
                </c:pt>
                <c:pt idx="9">
                  <c:v>Q4</c:v>
                </c:pt>
                <c:pt idx="10">
                  <c:v>Q1</c:v>
                </c:pt>
                <c:pt idx="11">
                  <c:v>Q2</c:v>
                </c:pt>
              </c:strCache>
            </c:strRef>
          </c:cat>
          <c:val>
            <c:numRef>
              <c:f>'(1) Figure 1'!$Q$277:$Q$288</c:f>
              <c:numCache>
                <c:formatCode>0.0%</c:formatCode>
                <c:ptCount val="12"/>
                <c:pt idx="0">
                  <c:v>1.8322796909303718E-2</c:v>
                </c:pt>
                <c:pt idx="1">
                  <c:v>5.8847888099344825E-3</c:v>
                </c:pt>
                <c:pt idx="2">
                  <c:v>-7.2261852138488791E-4</c:v>
                </c:pt>
                <c:pt idx="3">
                  <c:v>2.2391015322390517E-2</c:v>
                </c:pt>
                <c:pt idx="4">
                  <c:v>1.3761251325316248E-2</c:v>
                </c:pt>
                <c:pt idx="5">
                  <c:v>8.2719409395382026E-3</c:v>
                </c:pt>
                <c:pt idx="6">
                  <c:v>2.5236889597879397E-3</c:v>
                </c:pt>
                <c:pt idx="7">
                  <c:v>2.4897333422074119E-2</c:v>
                </c:pt>
                <c:pt idx="8">
                  <c:v>1.4081898399459281E-2</c:v>
                </c:pt>
                <c:pt idx="9">
                  <c:v>2.0619579541274469E-2</c:v>
                </c:pt>
                <c:pt idx="10">
                  <c:v>2.0240705469859899E-2</c:v>
                </c:pt>
                <c:pt idx="11">
                  <c:v>1.0263171763557288E-2</c:v>
                </c:pt>
              </c:numCache>
            </c:numRef>
          </c:val>
        </c:ser>
        <c:ser>
          <c:idx val="2"/>
          <c:order val="2"/>
          <c:spPr>
            <a:solidFill>
              <a:schemeClr val="bg1">
                <a:alpha val="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C00000"/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'(1) Figure 1'!$O$277:$O$288</c:f>
              <c:strCache>
                <c:ptCount val="12"/>
                <c:pt idx="0">
                  <c:v>Q3</c:v>
                </c:pt>
                <c:pt idx="1">
                  <c:v>Q4</c:v>
                </c:pt>
                <c:pt idx="2">
                  <c:v>Q1</c:v>
                </c:pt>
                <c:pt idx="3">
                  <c:v>Q2</c:v>
                </c:pt>
                <c:pt idx="4">
                  <c:v>Q3</c:v>
                </c:pt>
                <c:pt idx="5">
                  <c:v>Q4</c:v>
                </c:pt>
                <c:pt idx="6">
                  <c:v>Q1</c:v>
                </c:pt>
                <c:pt idx="7">
                  <c:v>Q2</c:v>
                </c:pt>
                <c:pt idx="8">
                  <c:v>Q3</c:v>
                </c:pt>
                <c:pt idx="9">
                  <c:v>Q4</c:v>
                </c:pt>
                <c:pt idx="10">
                  <c:v>Q1</c:v>
                </c:pt>
                <c:pt idx="11">
                  <c:v>Q2</c:v>
                </c:pt>
              </c:strCache>
            </c:strRef>
          </c:cat>
          <c:val>
            <c:numRef>
              <c:f>'(1) Figure 1'!$P$277:$P$288</c:f>
              <c:numCache>
                <c:formatCode>0.0%</c:formatCode>
                <c:ptCount val="12"/>
                <c:pt idx="0">
                  <c:v>7.1441697663815695E-2</c:v>
                </c:pt>
                <c:pt idx="1">
                  <c:v>2.6035918373476408E-2</c:v>
                </c:pt>
                <c:pt idx="2">
                  <c:v>3.1673132377592728E-2</c:v>
                </c:pt>
                <c:pt idx="3">
                  <c:v>4.9799808487877906E-2</c:v>
                </c:pt>
                <c:pt idx="4">
                  <c:v>3.0068136485707608E-2</c:v>
                </c:pt>
                <c:pt idx="5">
                  <c:v>1.3121122237984784E-2</c:v>
                </c:pt>
                <c:pt idx="6">
                  <c:v>8.3377679835017204E-3</c:v>
                </c:pt>
                <c:pt idx="7">
                  <c:v>4.7265069941214044E-2</c:v>
                </c:pt>
                <c:pt idx="8">
                  <c:v>4.1876212586739125E-2</c:v>
                </c:pt>
                <c:pt idx="9">
                  <c:v>3.8209592485740407E-2</c:v>
                </c:pt>
                <c:pt idx="10">
                  <c:v>3.2593230265801409E-2</c:v>
                </c:pt>
                <c:pt idx="11">
                  <c:v>3.5945850398740653E-2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354558768"/>
        <c:axId val="354559328"/>
      </c:barChart>
      <c:catAx>
        <c:axId val="35455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54559328"/>
        <c:crosses val="autoZero"/>
        <c:auto val="1"/>
        <c:lblAlgn val="ctr"/>
        <c:lblOffset val="100"/>
        <c:noMultiLvlLbl val="0"/>
      </c:catAx>
      <c:valAx>
        <c:axId val="354559328"/>
        <c:scaling>
          <c:orientation val="minMax"/>
          <c:max val="8.0000000000000016E-2"/>
          <c:min val="0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54558768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66845850999394E-2"/>
          <c:y val="0.17635171981946005"/>
          <c:w val="0.93470333636180092"/>
          <c:h val="0.73796777633345467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Lbls>
            <c:dLbl>
              <c:idx val="0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5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2.130139982502182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5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3.0807961504811899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5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9013662514227411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3.3333333333333333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8.3333770778652672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1752000992018454E-16"/>
                  <c:y val="1.4260246885670623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C0000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8.8888888888888892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C0000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8.3333333333333287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2.3767078142784372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7030A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2060"/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'(3) Figure 2'!$F$296:$Q$296</c:f>
              <c:strCache>
                <c:ptCount val="12"/>
                <c:pt idx="0">
                  <c:v>Durables</c:v>
                </c:pt>
                <c:pt idx="1">
                  <c:v>Nondurables</c:v>
                </c:pt>
                <c:pt idx="2">
                  <c:v>Services</c:v>
                </c:pt>
                <c:pt idx="3">
                  <c:v>Housing</c:v>
                </c:pt>
                <c:pt idx="4">
                  <c:v>Structures</c:v>
                </c:pt>
                <c:pt idx="5">
                  <c:v>Equipment</c:v>
                </c:pt>
                <c:pt idx="6">
                  <c:v>Intellectual Property</c:v>
                </c:pt>
                <c:pt idx="7">
                  <c:v>Inventories</c:v>
                </c:pt>
                <c:pt idx="8">
                  <c:v>Federal Gov't</c:v>
                </c:pt>
                <c:pt idx="9">
                  <c:v>State &amp; Local Gov't</c:v>
                </c:pt>
                <c:pt idx="10">
                  <c:v>Exports</c:v>
                </c:pt>
                <c:pt idx="11">
                  <c:v>Imports</c:v>
                </c:pt>
              </c:strCache>
            </c:strRef>
          </c:cat>
          <c:val>
            <c:numRef>
              <c:f>'(3) Figure 2'!$F$298:$Q$298</c:f>
              <c:numCache>
                <c:formatCode>0.0</c:formatCode>
                <c:ptCount val="12"/>
                <c:pt idx="0">
                  <c:v>0.47</c:v>
                </c:pt>
                <c:pt idx="1">
                  <c:v>0.55000000000000004</c:v>
                </c:pt>
                <c:pt idx="2">
                  <c:v>0.91</c:v>
                </c:pt>
                <c:pt idx="3">
                  <c:v>-0.27</c:v>
                </c:pt>
                <c:pt idx="4">
                  <c:v>0.14000000000000001</c:v>
                </c:pt>
                <c:pt idx="5">
                  <c:v>0.44</c:v>
                </c:pt>
                <c:pt idx="6">
                  <c:v>0.06</c:v>
                </c:pt>
                <c:pt idx="7">
                  <c:v>-0.02</c:v>
                </c:pt>
                <c:pt idx="8">
                  <c:v>0.15</c:v>
                </c:pt>
                <c:pt idx="9">
                  <c:v>-0.02</c:v>
                </c:pt>
                <c:pt idx="10">
                  <c:v>0.48</c:v>
                </c:pt>
                <c:pt idx="11">
                  <c:v>-0.31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overlap val="100"/>
        <c:axId val="431077008"/>
        <c:axId val="435459568"/>
      </c:barChart>
      <c:scatterChart>
        <c:scatterStyle val="lineMarker"/>
        <c:varyColors val="0"/>
        <c:ser>
          <c:idx val="0"/>
          <c:order val="1"/>
          <c:spPr>
            <a:ln w="25400" cap="rnd">
              <a:noFill/>
              <a:round/>
            </a:ln>
            <a:effectLst/>
          </c:spPr>
          <c:marker>
            <c:symbol val="dash"/>
            <c:size val="15"/>
            <c:spPr>
              <a:solidFill>
                <a:schemeClr val="bg2">
                  <a:lumMod val="50000"/>
                </a:schemeClr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6.4257028112449802E-3"/>
                  <c:y val="-8.71449464843512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425702811244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4257028112449802E-3"/>
                  <c:y val="-4.35724732421756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425702811244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285140562254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4257028112449802E-3"/>
                  <c:y val="-8.71449464843512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425702811244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6.425702811244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192771084338525E-3"/>
                  <c:y val="-8.71449464843512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81927710843373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6.42570281124509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8.032128514056224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2">
                        <a:lumMod val="50000"/>
                      </a:schemeClr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'(3) Figure 2'!$F$296:$Q$296</c:f>
              <c:strCache>
                <c:ptCount val="12"/>
                <c:pt idx="0">
                  <c:v>Durables</c:v>
                </c:pt>
                <c:pt idx="1">
                  <c:v>Nondurables</c:v>
                </c:pt>
                <c:pt idx="2">
                  <c:v>Services</c:v>
                </c:pt>
                <c:pt idx="3">
                  <c:v>Housing</c:v>
                </c:pt>
                <c:pt idx="4">
                  <c:v>Structures</c:v>
                </c:pt>
                <c:pt idx="5">
                  <c:v>Equipment</c:v>
                </c:pt>
                <c:pt idx="6">
                  <c:v>Intellectual Property</c:v>
                </c:pt>
                <c:pt idx="7">
                  <c:v>Inventories</c:v>
                </c:pt>
                <c:pt idx="8">
                  <c:v>Federal Gov't</c:v>
                </c:pt>
                <c:pt idx="9">
                  <c:v>State &amp; Local Gov't</c:v>
                </c:pt>
                <c:pt idx="10">
                  <c:v>Exports</c:v>
                </c:pt>
                <c:pt idx="11">
                  <c:v>Imports</c:v>
                </c:pt>
              </c:strCache>
            </c:strRef>
          </c:xVal>
          <c:yVal>
            <c:numRef>
              <c:f>'(3) Figure 2'!$F$297:$Q$297</c:f>
              <c:numCache>
                <c:formatCode>0.0</c:formatCode>
                <c:ptCount val="12"/>
                <c:pt idx="0">
                  <c:v>0.47548387096774192</c:v>
                </c:pt>
                <c:pt idx="1">
                  <c:v>0.31322580645161291</c:v>
                </c:pt>
                <c:pt idx="2">
                  <c:v>0.82032258064516128</c:v>
                </c:pt>
                <c:pt idx="3">
                  <c:v>0.19000000000000003</c:v>
                </c:pt>
                <c:pt idx="4">
                  <c:v>8.7096774193548571E-3</c:v>
                </c:pt>
                <c:pt idx="5">
                  <c:v>0.3567741935483873</c:v>
                </c:pt>
                <c:pt idx="6">
                  <c:v>0.14935483870967747</c:v>
                </c:pt>
                <c:pt idx="7">
                  <c:v>0.2061290322580645</c:v>
                </c:pt>
                <c:pt idx="8">
                  <c:v>-8.8709677419354815E-2</c:v>
                </c:pt>
                <c:pt idx="9">
                  <c:v>-8.4516129032258108E-2</c:v>
                </c:pt>
                <c:pt idx="10">
                  <c:v>0.55225806451612891</c:v>
                </c:pt>
                <c:pt idx="11">
                  <c:v>-0.75677419354838715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1077008"/>
        <c:axId val="435459568"/>
      </c:scatterChart>
      <c:catAx>
        <c:axId val="4310770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5459568"/>
        <c:crosses val="autoZero"/>
        <c:auto val="1"/>
        <c:lblAlgn val="ctr"/>
        <c:lblOffset val="100"/>
        <c:noMultiLvlLbl val="0"/>
      </c:catAx>
      <c:valAx>
        <c:axId val="4354595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31077008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0.99245</cdr:x>
      <cdr:y>0.10977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0" y="0"/>
          <a:ext cx="7020790" cy="3349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1000" b="1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Quarterly RGDP, NGDP, and the Inflation Adjustment </a:t>
          </a:r>
          <a:r>
            <a:rPr lang="en-US" sz="1000" b="0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(Source: BEA)</a:t>
          </a:r>
          <a:endParaRPr lang="en-US" sz="10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0.87801</cdr:x>
      <cdr:y>0</cdr:y>
    </cdr:from>
    <cdr:to>
      <cdr:x>1</cdr:x>
      <cdr:y>0.25758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6057901" y="0"/>
          <a:ext cx="841663" cy="588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1000">
              <a:solidFill>
                <a:srgbClr val="C00000"/>
              </a:solidFill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NGDP growth</a:t>
          </a:r>
          <a:endParaRPr lang="en-US" sz="1000" baseline="0">
            <a:solidFill>
              <a:srgbClr val="C00000"/>
            </a:solidFill>
            <a:latin typeface="Arial Narrow" panose="020B060602020203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pPr algn="l"/>
          <a:r>
            <a:rPr lang="en-US" sz="10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minus</a:t>
          </a:r>
          <a:r>
            <a:rPr lang="en-US" sz="10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 </a:t>
          </a:r>
          <a:r>
            <a:rPr lang="en-US" sz="1000" baseline="0">
              <a:solidFill>
                <a:srgbClr val="00B0F0"/>
              </a:solidFill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Inflation</a:t>
          </a:r>
        </a:p>
        <a:p xmlns:a="http://schemas.openxmlformats.org/drawingml/2006/main">
          <a:pPr marL="0" marR="0" lvl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chemeClr val="tx1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=</a:t>
          </a:r>
          <a:r>
            <a:rPr lang="en-US" sz="1000">
              <a:solidFill>
                <a:schemeClr val="tx1">
                  <a:lumMod val="65000"/>
                  <a:lumOff val="35000"/>
                </a:schemeClr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 </a:t>
          </a:r>
          <a:r>
            <a:rPr lang="en-US" sz="1000">
              <a:solidFill>
                <a:srgbClr val="002060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RGDP growth</a:t>
          </a:r>
          <a:endParaRPr lang="en-US" sz="1000" b="1">
            <a:solidFill>
              <a:srgbClr val="00B0F0"/>
            </a:solidFill>
            <a:latin typeface="Arial Narrow" panose="020B0606020202030204" pitchFamily="34" charset="0"/>
            <a:ea typeface="+mn-ea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0.51887</cdr:x>
      <cdr:y>0.17287</cdr:y>
    </cdr:from>
    <cdr:to>
      <cdr:x>0.51989</cdr:x>
      <cdr:y>0.88046</cdr:y>
    </cdr:to>
    <cdr:cxnSp macro="">
      <cdr:nvCxnSpPr>
        <cdr:cNvPr id="18" name="Straight Connector 17"/>
        <cdr:cNvCxnSpPr/>
      </cdr:nvCxnSpPr>
      <cdr:spPr>
        <a:xfrm xmlns:a="http://schemas.openxmlformats.org/drawingml/2006/main" flipH="1" flipV="1">
          <a:off x="3671293" y="428861"/>
          <a:ext cx="7218" cy="1755457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bg1">
              <a:lumMod val="8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0.20898</cdr:x>
      <cdr:y>0.17113</cdr:y>
    </cdr:from>
    <cdr:to>
      <cdr:x>0.21001</cdr:x>
      <cdr:y>0.87872</cdr:y>
    </cdr:to>
    <cdr:cxnSp macro="">
      <cdr:nvCxnSpPr>
        <cdr:cNvPr id="20" name="Straight Connector 19"/>
        <cdr:cNvCxnSpPr/>
      </cdr:nvCxnSpPr>
      <cdr:spPr>
        <a:xfrm xmlns:a="http://schemas.openxmlformats.org/drawingml/2006/main" flipH="1" flipV="1">
          <a:off x="1478658" y="424547"/>
          <a:ext cx="7288" cy="1755458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bg1">
              <a:lumMod val="8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0.15118</cdr:x>
      <cdr:y>0.18018</cdr:y>
    </cdr:from>
    <cdr:to>
      <cdr:x>0.21072</cdr:x>
      <cdr:y>0.26437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1064632" y="447006"/>
          <a:ext cx="419299" cy="208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 baseline="0">
              <a:solidFill>
                <a:sysClr val="windowText" lastClr="000000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2014</a:t>
          </a:r>
          <a:endParaRPr lang="en-US" sz="1000" b="0">
            <a:solidFill>
              <a:sysClr val="windowText" lastClr="000000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0.82978</cdr:x>
      <cdr:y>0.1714</cdr:y>
    </cdr:from>
    <cdr:to>
      <cdr:x>0.8308</cdr:x>
      <cdr:y>0.87899</cdr:y>
    </cdr:to>
    <cdr:cxnSp macro="">
      <cdr:nvCxnSpPr>
        <cdr:cNvPr id="15" name="Straight Connector 14"/>
        <cdr:cNvCxnSpPr/>
      </cdr:nvCxnSpPr>
      <cdr:spPr>
        <a:xfrm xmlns:a="http://schemas.openxmlformats.org/drawingml/2006/main" flipH="1" flipV="1">
          <a:off x="5871135" y="425226"/>
          <a:ext cx="7217" cy="1755457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bg1">
              <a:lumMod val="8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0.21061</cdr:x>
      <cdr:y>0.18026</cdr:y>
    </cdr:from>
    <cdr:to>
      <cdr:x>0.27016</cdr:x>
      <cdr:y>0.26446</cdr:y>
    </cdr:to>
    <cdr:sp macro="" textlink="">
      <cdr:nvSpPr>
        <cdr:cNvPr id="22" name="TextBox 1"/>
        <cdr:cNvSpPr txBox="1"/>
      </cdr:nvSpPr>
      <cdr:spPr>
        <a:xfrm xmlns:a="http://schemas.openxmlformats.org/drawingml/2006/main">
          <a:off x="1483172" y="447212"/>
          <a:ext cx="419299" cy="208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 baseline="0">
              <a:solidFill>
                <a:sysClr val="windowText" lastClr="000000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2015</a:t>
          </a:r>
          <a:endParaRPr lang="en-US" sz="1000" b="0">
            <a:solidFill>
              <a:sysClr val="windowText" lastClr="000000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0.51966</cdr:x>
      <cdr:y>0.17405</cdr:y>
    </cdr:from>
    <cdr:to>
      <cdr:x>0.5792</cdr:x>
      <cdr:y>0.25825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3676869" y="431800"/>
          <a:ext cx="421285" cy="208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 baseline="0">
              <a:solidFill>
                <a:sysClr val="windowText" lastClr="000000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2016</a:t>
          </a:r>
          <a:endParaRPr lang="en-US" sz="1000" b="0">
            <a:solidFill>
              <a:sysClr val="windowText" lastClr="000000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0.82975</cdr:x>
      <cdr:y>0.17405</cdr:y>
    </cdr:from>
    <cdr:to>
      <cdr:x>0.88929</cdr:x>
      <cdr:y>0.25825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5870904" y="431800"/>
          <a:ext cx="421285" cy="208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 baseline="0">
              <a:solidFill>
                <a:sysClr val="windowText" lastClr="000000"/>
              </a:solidFill>
              <a:effectLst/>
              <a:latin typeface="Arial Narrow" panose="020B0606020202030204" pitchFamily="34" charset="0"/>
              <a:ea typeface="+mn-ea"/>
              <a:cs typeface="Arial" panose="020B0604020202020204" pitchFamily="34" charset="0"/>
            </a:rPr>
            <a:t>2017</a:t>
          </a:r>
          <a:endParaRPr lang="en-US" sz="1000" b="0">
            <a:solidFill>
              <a:sysClr val="windowText" lastClr="000000"/>
            </a:solidFill>
            <a:latin typeface="Arial Narrow" panose="020B060602020203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0.09901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0" y="0"/>
          <a:ext cx="7905750" cy="264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1000" b="1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Q2-2017 2.6% RGDP Growth, Contributions by Component </a:t>
          </a:r>
          <a:r>
            <a:rPr lang="en-US" sz="1000" b="0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(Source: BEA)</a:t>
          </a:r>
          <a:endParaRPr lang="en-US" sz="10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0.92381</cdr:y>
    </cdr:from>
    <cdr:to>
      <cdr:x>1</cdr:x>
      <cdr:y>1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0" y="2111831"/>
          <a:ext cx="6911786" cy="1741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chemeClr val="tx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Gray lines represent each component's recovery average (sum to recovery average 2.1% RGDP growth)</a:t>
          </a:r>
          <a:endParaRPr lang="en-US" sz="80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0.02375</cdr:x>
      <cdr:y>0.13321</cdr:y>
    </cdr:from>
    <cdr:to>
      <cdr:x>0.16561</cdr:x>
      <cdr:y>0.20754</cdr:y>
    </cdr:to>
    <cdr:sp macro="" textlink="">
      <cdr:nvSpPr>
        <cdr:cNvPr id="29" name="TextBox 1"/>
        <cdr:cNvSpPr txBox="1"/>
      </cdr:nvSpPr>
      <cdr:spPr>
        <a:xfrm xmlns:a="http://schemas.openxmlformats.org/drawingml/2006/main">
          <a:off x="162878" y="302148"/>
          <a:ext cx="972875" cy="1685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800" b="0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%</a:t>
          </a:r>
          <a:endParaRPr lang="en-US" sz="8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0.06499</cdr:x>
      <cdr:y>0.10351</cdr:y>
    </cdr:from>
    <cdr:to>
      <cdr:x>0.2598</cdr:x>
      <cdr:y>0.16733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450780" y="236621"/>
          <a:ext cx="1351173" cy="1458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="1" baseline="0">
              <a:solidFill>
                <a:srgbClr val="00B05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Consumption</a:t>
          </a:r>
          <a:endParaRPr lang="en-US" sz="800" b="1">
            <a:solidFill>
              <a:srgbClr val="00B05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0.38378</cdr:x>
      <cdr:y>0.10351</cdr:y>
    </cdr:from>
    <cdr:to>
      <cdr:x>0.57859</cdr:x>
      <cdr:y>0.16598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2661872" y="236622"/>
          <a:ext cx="1351173" cy="1428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="1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Private Investment</a:t>
          </a:r>
          <a:endParaRPr lang="en-US" sz="800" b="1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0.68175</cdr:x>
      <cdr:y>0.1057</cdr:y>
    </cdr:from>
    <cdr:to>
      <cdr:x>0.82015</cdr:x>
      <cdr:y>0.16752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4728516" y="241635"/>
          <a:ext cx="959922" cy="1413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="1" baseline="0">
              <a:solidFill>
                <a:srgbClr val="C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Government </a:t>
          </a:r>
          <a:endParaRPr lang="en-US" sz="80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0.81749</cdr:x>
      <cdr:y>0.1057</cdr:y>
    </cdr:from>
    <cdr:to>
      <cdr:x>1</cdr:x>
      <cdr:y>0.16615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5669989" y="241635"/>
          <a:ext cx="1265862" cy="138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="1" baseline="0">
              <a:solidFill>
                <a:srgbClr val="7030A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Foreign Trade</a:t>
          </a:r>
          <a:endParaRPr lang="en-US" sz="800" b="1">
            <a:solidFill>
              <a:srgbClr val="7030A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0.07435</cdr:x>
      <cdr:y>0.54375</cdr:y>
    </cdr:from>
    <cdr:to>
      <cdr:x>0.09859</cdr:x>
      <cdr:y>1</cdr:y>
    </cdr:to>
    <cdr:sp macro="" textlink="">
      <cdr:nvSpPr>
        <cdr:cNvPr id="17" name="TextBox 1"/>
        <cdr:cNvSpPr txBox="1"/>
      </cdr:nvSpPr>
      <cdr:spPr>
        <a:xfrm xmlns:a="http://schemas.openxmlformats.org/drawingml/2006/main" rot="16200000">
          <a:off x="75196" y="1680872"/>
          <a:ext cx="1042988" cy="167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5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Durables</a:t>
          </a:r>
          <a:endParaRPr lang="en-US" sz="800" b="0">
            <a:solidFill>
              <a:srgbClr val="00B05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0.15178</cdr:x>
      <cdr:y>0.5437</cdr:y>
    </cdr:from>
    <cdr:to>
      <cdr:x>0.17602</cdr:x>
      <cdr:y>0.99797</cdr:y>
    </cdr:to>
    <cdr:sp macro="" textlink="">
      <cdr:nvSpPr>
        <cdr:cNvPr id="18" name="TextBox 1"/>
        <cdr:cNvSpPr txBox="1"/>
      </cdr:nvSpPr>
      <cdr:spPr>
        <a:xfrm xmlns:a="http://schemas.openxmlformats.org/drawingml/2006/main" rot="16200000">
          <a:off x="611792" y="1678489"/>
          <a:ext cx="1038461" cy="1672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5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Nondurables</a:t>
          </a:r>
          <a:endParaRPr lang="en-US" sz="800" b="0">
            <a:solidFill>
              <a:srgbClr val="00B05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0.22989</cdr:x>
      <cdr:y>0.54606</cdr:y>
    </cdr:from>
    <cdr:to>
      <cdr:x>0.2548</cdr:x>
      <cdr:y>1</cdr:y>
    </cdr:to>
    <cdr:sp macro="" textlink="">
      <cdr:nvSpPr>
        <cdr:cNvPr id="19" name="TextBox 1"/>
        <cdr:cNvSpPr txBox="1"/>
      </cdr:nvSpPr>
      <cdr:spPr>
        <a:xfrm xmlns:a="http://schemas.openxmlformats.org/drawingml/2006/main" rot="16200000">
          <a:off x="1153467" y="1681185"/>
          <a:ext cx="1037707" cy="171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5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Services</a:t>
          </a:r>
          <a:endParaRPr lang="en-US" sz="800" b="0">
            <a:solidFill>
              <a:srgbClr val="00B05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0.30934</cdr:x>
      <cdr:y>4.37445E-7</cdr:y>
    </cdr:from>
    <cdr:to>
      <cdr:x>0.33425</cdr:x>
      <cdr:y>0.47642</cdr:y>
    </cdr:to>
    <cdr:sp macro="" textlink="">
      <cdr:nvSpPr>
        <cdr:cNvPr id="20" name="TextBox 1"/>
        <cdr:cNvSpPr txBox="1"/>
      </cdr:nvSpPr>
      <cdr:spPr>
        <a:xfrm xmlns:a="http://schemas.openxmlformats.org/drawingml/2006/main" rot="16200000">
          <a:off x="1676040" y="458594"/>
          <a:ext cx="1089102" cy="1719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Residential Investment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0.3861</cdr:x>
      <cdr:y>0.54959</cdr:y>
    </cdr:from>
    <cdr:to>
      <cdr:x>0.41034</cdr:x>
      <cdr:y>1</cdr:y>
    </cdr:to>
    <cdr:sp macro="" textlink="">
      <cdr:nvSpPr>
        <cdr:cNvPr id="21" name="TextBox 1"/>
        <cdr:cNvSpPr txBox="1"/>
      </cdr:nvSpPr>
      <cdr:spPr>
        <a:xfrm xmlns:a="http://schemas.openxmlformats.org/drawingml/2006/main" rot="16200000">
          <a:off x="2233128" y="1687546"/>
          <a:ext cx="1029637" cy="167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Structures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0.46353</cdr:x>
      <cdr:y>0.54704</cdr:y>
    </cdr:from>
    <cdr:to>
      <cdr:x>0.48844</cdr:x>
      <cdr:y>0.99745</cdr:y>
    </cdr:to>
    <cdr:sp macro="" textlink="">
      <cdr:nvSpPr>
        <cdr:cNvPr id="22" name="TextBox 1"/>
        <cdr:cNvSpPr txBox="1"/>
      </cdr:nvSpPr>
      <cdr:spPr>
        <a:xfrm xmlns:a="http://schemas.openxmlformats.org/drawingml/2006/main" rot="16200000">
          <a:off x="2769784" y="1679395"/>
          <a:ext cx="1029638" cy="1719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Equipment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0.54163</cdr:x>
      <cdr:y>0.54959</cdr:y>
    </cdr:from>
    <cdr:to>
      <cdr:x>0.56587</cdr:x>
      <cdr:y>1</cdr:y>
    </cdr:to>
    <cdr:sp macro="" textlink="">
      <cdr:nvSpPr>
        <cdr:cNvPr id="23" name="TextBox 1"/>
        <cdr:cNvSpPr txBox="1"/>
      </cdr:nvSpPr>
      <cdr:spPr>
        <a:xfrm xmlns:a="http://schemas.openxmlformats.org/drawingml/2006/main" rot="16200000">
          <a:off x="3306435" y="1687547"/>
          <a:ext cx="1029637" cy="167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Intellectual Property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0.69717</cdr:x>
      <cdr:y>0.54756</cdr:y>
    </cdr:from>
    <cdr:to>
      <cdr:x>0.72141</cdr:x>
      <cdr:y>0.98574</cdr:y>
    </cdr:to>
    <cdr:sp macro="" textlink="">
      <cdr:nvSpPr>
        <cdr:cNvPr id="25" name="TextBox 1"/>
        <cdr:cNvSpPr txBox="1"/>
      </cdr:nvSpPr>
      <cdr:spPr>
        <a:xfrm xmlns:a="http://schemas.openxmlformats.org/drawingml/2006/main" rot="16200000">
          <a:off x="4393719" y="1668930"/>
          <a:ext cx="1001677" cy="1672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C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Federal</a:t>
          </a:r>
          <a:endParaRPr lang="en-US" sz="800" b="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0.77528</cdr:x>
      <cdr:y>0.54756</cdr:y>
    </cdr:from>
    <cdr:to>
      <cdr:x>0.79952</cdr:x>
      <cdr:y>1</cdr:y>
    </cdr:to>
    <cdr:sp macro="" textlink="">
      <cdr:nvSpPr>
        <cdr:cNvPr id="26" name="TextBox 1"/>
        <cdr:cNvSpPr txBox="1"/>
      </cdr:nvSpPr>
      <cdr:spPr>
        <a:xfrm xmlns:a="http://schemas.openxmlformats.org/drawingml/2006/main" rot="16200000">
          <a:off x="4916396" y="1685225"/>
          <a:ext cx="1034275" cy="1672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C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State &amp; Local</a:t>
          </a:r>
          <a:endParaRPr lang="en-US" sz="800" b="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0.85271</cdr:x>
      <cdr:y>0.54146</cdr:y>
    </cdr:from>
    <cdr:to>
      <cdr:x>0.87695</cdr:x>
      <cdr:y>0.99822</cdr:y>
    </cdr:to>
    <cdr:sp macro="" textlink="">
      <cdr:nvSpPr>
        <cdr:cNvPr id="27" name="TextBox 1"/>
        <cdr:cNvSpPr txBox="1"/>
      </cdr:nvSpPr>
      <cdr:spPr>
        <a:xfrm xmlns:a="http://schemas.openxmlformats.org/drawingml/2006/main" rot="16200000">
          <a:off x="5445790" y="1676221"/>
          <a:ext cx="1044145" cy="1672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7030A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Exports</a:t>
          </a:r>
          <a:endParaRPr lang="en-US" sz="800" b="0">
            <a:solidFill>
              <a:srgbClr val="7030A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0.93081</cdr:x>
      <cdr:y>0</cdr:y>
    </cdr:from>
    <cdr:to>
      <cdr:x>0.95505</cdr:x>
      <cdr:y>0.54756</cdr:y>
    </cdr:to>
    <cdr:sp macro="" textlink="">
      <cdr:nvSpPr>
        <cdr:cNvPr id="28" name="TextBox 1"/>
        <cdr:cNvSpPr txBox="1"/>
      </cdr:nvSpPr>
      <cdr:spPr>
        <a:xfrm xmlns:a="http://schemas.openxmlformats.org/drawingml/2006/main" rot="16200000">
          <a:off x="5880975" y="542230"/>
          <a:ext cx="1251725" cy="1672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800" b="0" baseline="0">
              <a:solidFill>
                <a:srgbClr val="7030A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Imports</a:t>
          </a:r>
          <a:endParaRPr lang="en-US" sz="800" b="0">
            <a:solidFill>
              <a:srgbClr val="7030A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0.05142</cdr:x>
      <cdr:y>0.54451</cdr:y>
    </cdr:from>
    <cdr:to>
      <cdr:x>0.98162</cdr:x>
      <cdr:y>0.54635</cdr:y>
    </cdr:to>
    <cdr:cxnSp macro="">
      <cdr:nvCxnSpPr>
        <cdr:cNvPr id="31" name="Straight Connector 30"/>
        <cdr:cNvCxnSpPr/>
      </cdr:nvCxnSpPr>
      <cdr:spPr>
        <a:xfrm xmlns:a="http://schemas.openxmlformats.org/drawingml/2006/main">
          <a:off x="353932" y="1244752"/>
          <a:ext cx="6402790" cy="421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6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0.62176</cdr:x>
      <cdr:y>0.54959</cdr:y>
    </cdr:from>
    <cdr:to>
      <cdr:x>0.646</cdr:x>
      <cdr:y>1</cdr:y>
    </cdr:to>
    <cdr:sp macro="" textlink="">
      <cdr:nvSpPr>
        <cdr:cNvPr id="32" name="TextBox 1"/>
        <cdr:cNvSpPr txBox="1"/>
      </cdr:nvSpPr>
      <cdr:spPr>
        <a:xfrm xmlns:a="http://schemas.openxmlformats.org/drawingml/2006/main" rot="16200000">
          <a:off x="3859348" y="1687546"/>
          <a:ext cx="1029637" cy="167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Inventories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D994-B54B-445A-98B5-B5E2F9CF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Schibuola, Alex (JEC)</dc:creator>
  <cp:keywords/>
  <dc:description/>
  <cp:lastModifiedBy>Schibuola, Alex (JEC)</cp:lastModifiedBy>
  <cp:revision>7</cp:revision>
  <cp:lastPrinted>2017-07-31T18:23:00Z</cp:lastPrinted>
  <dcterms:created xsi:type="dcterms:W3CDTF">2017-05-09T14:27:00Z</dcterms:created>
  <dcterms:modified xsi:type="dcterms:W3CDTF">2017-07-31T18:24:00Z</dcterms:modified>
</cp:coreProperties>
</file>